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1070F6">
      <w:pPr>
        <w:jc w:val="center"/>
        <w:rPr>
          <w:lang w:val="sr-Latn-CS"/>
        </w:rPr>
      </w:pPr>
      <w:r w:rsidRPr="001070F6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75A12" w:rsidRDefault="00F43BA6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1B" w:rsidRDefault="004C1D1B">
      <w:pPr>
        <w:jc w:val="center"/>
        <w:rPr>
          <w:lang w:val="sr-Cyrl-CS"/>
        </w:rPr>
      </w:pPr>
    </w:p>
    <w:p w:rsidR="00BC4672" w:rsidRPr="00BC4672" w:rsidRDefault="00BC4672">
      <w:pPr>
        <w:jc w:val="center"/>
        <w:rPr>
          <w:lang w:val="sr-Cyrl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F76921">
        <w:t xml:space="preserve"> </w:t>
      </w:r>
      <w:r w:rsidR="005257EB" w:rsidRPr="006B3D6E">
        <w:rPr>
          <w:rFonts w:cs="Arial"/>
          <w:sz w:val="24"/>
          <w:szCs w:val="24"/>
          <w:lang w:val="sr-Cyrl-CS"/>
        </w:rPr>
        <w:t>КВАНТИТАТИВНЕ МЕТОДЕ ЗА ЗДРАВСТВЕНЕ ОРГАНИЗАЦИЈЕ</w:t>
      </w:r>
      <w:r w:rsidR="005257EB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3E3CC3" w:rsidRDefault="002D3376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3E3CC3">
        <w:rPr>
          <w:sz w:val="24"/>
          <w:szCs w:val="24"/>
        </w:rPr>
        <w:t>1</w:t>
      </w:r>
      <w:r w:rsidR="003E3CC3">
        <w:rPr>
          <w:sz w:val="24"/>
          <w:szCs w:val="24"/>
          <w:lang/>
        </w:rPr>
        <w:t>1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bookmarkStart w:id="0" w:name="OLE_LINK1"/>
      <w:r w:rsidR="00E27098" w:rsidRPr="00E27098">
        <w:rPr>
          <w:b/>
          <w:sz w:val="28"/>
          <w:szCs w:val="28"/>
          <w:lang w:val="sr-Latn-CS"/>
        </w:rPr>
        <w:t>КЛИНИЧКА МЕРЕЊА И СТАТИСТИКЕ МОРТАЛИТЕТА</w:t>
      </w:r>
      <w:r w:rsidR="005B6F3D">
        <w:rPr>
          <w:b/>
          <w:sz w:val="28"/>
          <w:szCs w:val="28"/>
          <w:lang w:val="sr-Latn-CS"/>
        </w:rPr>
        <w:t xml:space="preserve"> </w:t>
      </w:r>
      <w:bookmarkEnd w:id="0"/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32F7E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C86011" w:rsidRPr="00D7079D" w:rsidTr="003E3CC3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11" w:rsidRPr="003E3CC3" w:rsidRDefault="00C86011" w:rsidP="006D693E">
            <w:pPr>
              <w:jc w:val="center"/>
              <w:rPr>
                <w:color w:val="auto"/>
                <w:lang/>
              </w:rPr>
            </w:pPr>
            <w:r>
              <w:rPr>
                <w:color w:val="auto"/>
              </w:rPr>
              <w:t>1</w:t>
            </w:r>
            <w:r w:rsidR="003E3CC3">
              <w:rPr>
                <w:color w:val="auto"/>
                <w:lang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11" w:rsidRPr="00E53D2C" w:rsidRDefault="00E27098" w:rsidP="00740D7C">
            <w:pPr>
              <w:jc w:val="left"/>
              <w:rPr>
                <w:rFonts w:cs="Arial"/>
                <w:lang w:val="sr-Cyrl-CS"/>
              </w:rPr>
            </w:pPr>
            <w:r w:rsidRPr="00E27098">
              <w:rPr>
                <w:rFonts w:cs="Arial"/>
                <w:lang w:val="sr-Cyrl-CS"/>
              </w:rPr>
              <w:t>Клиничка мерења и статистике морталитета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011" w:rsidRPr="00444A3C" w:rsidRDefault="00E27098" w:rsidP="00FD43B5">
            <w:pPr>
              <w:autoSpaceDE w:val="0"/>
              <w:autoSpaceDN w:val="0"/>
              <w:adjustRightInd w:val="0"/>
              <w:jc w:val="left"/>
              <w:rPr>
                <w:lang/>
              </w:rPr>
            </w:pPr>
            <w:r w:rsidRPr="00324DAF">
              <w:rPr>
                <w:szCs w:val="22"/>
              </w:rPr>
              <w:t>Спровођење мерења. Сензитивност и специфичност. Статистике морталитета. Стопе морталитета.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11" w:rsidRPr="00CC20A0" w:rsidRDefault="00C86011" w:rsidP="00E27098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 xml:space="preserve">Упознавање </w:t>
            </w:r>
            <w:r>
              <w:rPr>
                <w:rFonts w:cs="Arial"/>
              </w:rPr>
              <w:t xml:space="preserve">са </w:t>
            </w:r>
            <w:r w:rsidR="00E27098">
              <w:rPr>
                <w:rFonts w:cs="Arial"/>
                <w:lang/>
              </w:rPr>
              <w:t>к</w:t>
            </w:r>
            <w:r w:rsidR="00E27098">
              <w:rPr>
                <w:rFonts w:cs="Arial"/>
                <w:lang w:val="sr-Cyrl-CS"/>
              </w:rPr>
              <w:t xml:space="preserve">линичким </w:t>
            </w:r>
            <w:r w:rsidR="00E27098" w:rsidRPr="00E27098">
              <w:rPr>
                <w:rFonts w:cs="Arial"/>
                <w:lang w:val="sr-Cyrl-CS"/>
              </w:rPr>
              <w:t>мерењ</w:t>
            </w:r>
            <w:r w:rsidR="00E27098">
              <w:rPr>
                <w:rFonts w:cs="Arial"/>
                <w:lang w:val="sr-Cyrl-CS"/>
              </w:rPr>
              <w:t xml:space="preserve">има и статистикама </w:t>
            </w:r>
            <w:r w:rsidR="00E27098" w:rsidRPr="00E27098">
              <w:rPr>
                <w:rFonts w:cs="Arial"/>
                <w:lang w:val="sr-Cyrl-CS"/>
              </w:rPr>
              <w:t>морталитета</w:t>
            </w:r>
            <w:r>
              <w:rPr>
                <w:rFonts w:cs="Arial"/>
                <w:lang w:val="sr-Cyrl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/>
        </w:rPr>
      </w:pPr>
    </w:p>
    <w:p w:rsidR="00444A3C" w:rsidRPr="00444A3C" w:rsidRDefault="00444A3C">
      <w:pPr>
        <w:jc w:val="center"/>
        <w:rPr>
          <w:b/>
          <w:sz w:val="24"/>
          <w:szCs w:val="24"/>
          <w:lang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9343DE" w:rsidRDefault="009343DE">
      <w:pPr>
        <w:jc w:val="center"/>
        <w:rPr>
          <w:b/>
          <w:sz w:val="24"/>
          <w:szCs w:val="24"/>
          <w:lang w:val="sr-Latn-CS"/>
        </w:rPr>
      </w:pPr>
    </w:p>
    <w:p w:rsidR="005257EB" w:rsidRDefault="005257EB">
      <w:pPr>
        <w:jc w:val="center"/>
        <w:rPr>
          <w:b/>
          <w:sz w:val="24"/>
          <w:szCs w:val="24"/>
          <w:lang w:val="sr-Cyrl-CS"/>
        </w:rPr>
      </w:pPr>
    </w:p>
    <w:p w:rsidR="00352E2F" w:rsidRDefault="00352E2F">
      <w:pPr>
        <w:jc w:val="center"/>
        <w:rPr>
          <w:b/>
          <w:sz w:val="24"/>
          <w:szCs w:val="24"/>
          <w:lang w:val="sr-Cyrl-CS"/>
        </w:rPr>
      </w:pPr>
    </w:p>
    <w:p w:rsidR="006E2157" w:rsidRDefault="006E2157">
      <w:pPr>
        <w:jc w:val="center"/>
        <w:rPr>
          <w:b/>
          <w:sz w:val="24"/>
          <w:szCs w:val="24"/>
          <w:lang w:val="sr-Cyrl-CS"/>
        </w:rPr>
      </w:pPr>
    </w:p>
    <w:p w:rsidR="00FD43B5" w:rsidRDefault="00FD43B5">
      <w:pPr>
        <w:jc w:val="center"/>
        <w:rPr>
          <w:b/>
          <w:sz w:val="24"/>
          <w:szCs w:val="24"/>
          <w:lang w:val="sr-Cyrl-CS"/>
        </w:rPr>
      </w:pPr>
    </w:p>
    <w:p w:rsidR="004159EA" w:rsidRPr="00A06B01" w:rsidRDefault="004159EA" w:rsidP="004159EA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5257EB">
        <w:rPr>
          <w:sz w:val="16"/>
          <w:szCs w:val="16"/>
          <w:lang w:val="sr-Cyrl-CS" w:eastAsia="ar-SA"/>
        </w:rPr>
        <w:t>8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80795A" w:rsidRPr="000647CD" w:rsidRDefault="004159EA" w:rsidP="004159EA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5257EB">
        <w:rPr>
          <w:sz w:val="16"/>
          <w:szCs w:val="16"/>
          <w:lang w:eastAsia="ar-SA"/>
        </w:rPr>
        <w:t>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80795A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3729AC" w:rsidRDefault="003729AC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09135A" w:rsidRDefault="001070F6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529204143" w:history="1">
        <w:r w:rsidR="0009135A" w:rsidRPr="00EF6B7F">
          <w:rPr>
            <w:rStyle w:val="Hyperlink"/>
            <w:noProof/>
            <w:lang w:val="sr-Cyrl-CS"/>
          </w:rPr>
          <w:t>Клиничка мерења и статистике морталитета</w:t>
        </w:r>
        <w:r w:rsidR="0009135A">
          <w:rPr>
            <w:noProof/>
            <w:webHidden/>
          </w:rPr>
          <w:tab/>
        </w:r>
        <w:r w:rsidR="0009135A">
          <w:rPr>
            <w:noProof/>
            <w:webHidden/>
          </w:rPr>
          <w:fldChar w:fldCharType="begin"/>
        </w:r>
        <w:r w:rsidR="0009135A">
          <w:rPr>
            <w:noProof/>
            <w:webHidden/>
          </w:rPr>
          <w:instrText xml:space="preserve"> PAGEREF _Toc529204143 \h </w:instrText>
        </w:r>
        <w:r w:rsidR="0009135A">
          <w:rPr>
            <w:noProof/>
            <w:webHidden/>
          </w:rPr>
        </w:r>
        <w:r w:rsidR="0009135A">
          <w:rPr>
            <w:noProof/>
            <w:webHidden/>
          </w:rPr>
          <w:fldChar w:fldCharType="separate"/>
        </w:r>
        <w:r w:rsidR="0009135A">
          <w:rPr>
            <w:noProof/>
            <w:webHidden/>
          </w:rPr>
          <w:t>2</w:t>
        </w:r>
        <w:r w:rsidR="0009135A">
          <w:rPr>
            <w:noProof/>
            <w:webHidden/>
          </w:rPr>
          <w:fldChar w:fldCharType="end"/>
        </w:r>
      </w:hyperlink>
    </w:p>
    <w:p w:rsidR="0009135A" w:rsidRDefault="0009135A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4144" w:history="1">
        <w:r w:rsidRPr="00EF6B7F">
          <w:rPr>
            <w:rStyle w:val="Hyperlink"/>
            <w:noProof/>
            <w:lang w:val="sr-Cyrl-CS" w:eastAsia="sr-Latn-CS"/>
          </w:rPr>
          <w:t>11</w:t>
        </w:r>
        <w:r w:rsidRPr="00EF6B7F">
          <w:rPr>
            <w:rStyle w:val="Hyperlink"/>
            <w:noProof/>
            <w:lang w:val="it-IT" w:eastAsia="sr-Latn-CS"/>
          </w:rPr>
          <w:t xml:space="preserve"> </w:t>
        </w:r>
        <w:r w:rsidRPr="00EF6B7F">
          <w:rPr>
            <w:rStyle w:val="Hyperlink"/>
            <w:noProof/>
            <w:lang w:eastAsia="sr-Latn-CS"/>
          </w:rPr>
          <w:t>Клиничка</w:t>
        </w:r>
        <w:r w:rsidRPr="00EF6B7F">
          <w:rPr>
            <w:rStyle w:val="Hyperlink"/>
            <w:noProof/>
            <w:lang w:val="it-IT" w:eastAsia="sr-Latn-CS"/>
          </w:rPr>
          <w:t xml:space="preserve"> </w:t>
        </w:r>
        <w:r w:rsidRPr="00EF6B7F">
          <w:rPr>
            <w:rStyle w:val="Hyperlink"/>
            <w:noProof/>
            <w:lang w:eastAsia="sr-Latn-CS"/>
          </w:rPr>
          <w:t>мерења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_Toc529204144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9135A" w:rsidRDefault="0009135A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4145" w:history="1">
        <w:r w:rsidRPr="00EF6B7F">
          <w:rPr>
            <w:rStyle w:val="Hyperlink"/>
            <w:noProof/>
            <w:lang w:val="it-IT" w:eastAsia="sr-Latn-CS"/>
          </w:rPr>
          <w:t xml:space="preserve">11.1 </w:t>
        </w:r>
        <w:r w:rsidRPr="00EF6B7F">
          <w:rPr>
            <w:rStyle w:val="Hyperlink"/>
            <w:noProof/>
            <w:lang w:eastAsia="sr-Latn-CS"/>
          </w:rPr>
          <w:t>Спровођење</w:t>
        </w:r>
        <w:r w:rsidRPr="00EF6B7F">
          <w:rPr>
            <w:rStyle w:val="Hyperlink"/>
            <w:noProof/>
            <w:lang w:val="it-IT" w:eastAsia="sr-Latn-CS"/>
          </w:rPr>
          <w:t xml:space="preserve"> </w:t>
        </w:r>
        <w:r w:rsidRPr="00EF6B7F">
          <w:rPr>
            <w:rStyle w:val="Hyperlink"/>
            <w:noProof/>
            <w:lang w:eastAsia="sr-Latn-CS"/>
          </w:rPr>
          <w:t>мерења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_Toc529204145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9135A" w:rsidRDefault="0009135A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4146" w:history="1">
        <w:r w:rsidRPr="00EF6B7F">
          <w:rPr>
            <w:rStyle w:val="Hyperlink"/>
            <w:noProof/>
            <w:lang w:eastAsia="sr-Latn-CS"/>
          </w:rPr>
          <w:t>11.</w:t>
        </w:r>
        <w:r w:rsidRPr="00EF6B7F">
          <w:rPr>
            <w:rStyle w:val="Hyperlink"/>
            <w:noProof/>
            <w:lang w:val="sr-Cyrl-CS" w:eastAsia="sr-Latn-CS"/>
          </w:rPr>
          <w:t>2</w:t>
        </w:r>
        <w:r w:rsidRPr="00EF6B7F">
          <w:rPr>
            <w:rStyle w:val="Hyperlink"/>
            <w:noProof/>
            <w:lang w:eastAsia="sr-Latn-CS"/>
          </w:rPr>
          <w:t xml:space="preserve"> Сензитивност и специфичност </w:t>
        </w:r>
        <w:r w:rsidRPr="00EF6B7F">
          <w:rPr>
            <w:rStyle w:val="Hyperlink"/>
            <w:noProof/>
            <w:lang w:val="sr-Cyrl-CS" w:eastAsia="sr-Latn-CS"/>
          </w:rPr>
          <w:t>(</w:t>
        </w:r>
        <w:r w:rsidRPr="00EF6B7F">
          <w:rPr>
            <w:rStyle w:val="Hyperlink"/>
            <w:noProof/>
            <w:lang w:eastAsia="sr-Latn-CS"/>
          </w:rPr>
          <w:t>sensitivity and specificity</w:t>
        </w:r>
        <w:r w:rsidRPr="00EF6B7F">
          <w:rPr>
            <w:rStyle w:val="Hyperlink"/>
            <w:noProof/>
            <w:lang w:val="sr-Cyrl-CS" w:eastAsia="sr-Latn-CS"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_Toc529204146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9135A" w:rsidRDefault="0009135A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4147" w:history="1">
        <w:r w:rsidRPr="00EF6B7F">
          <w:rPr>
            <w:rStyle w:val="Hyperlink"/>
            <w:noProof/>
            <w:lang w:val="sr-Cyrl-CS" w:eastAsia="sr-Latn-CS"/>
          </w:rPr>
          <w:t>11.3 Нормални опсег или интервал референце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_Toc529204147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9135A" w:rsidRDefault="0009135A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4148" w:history="1">
        <w:r w:rsidRPr="00EF6B7F">
          <w:rPr>
            <w:rStyle w:val="Hyperlink"/>
            <w:noProof/>
            <w:lang w:val="it-IT" w:eastAsia="sr-Latn-CS"/>
          </w:rPr>
          <w:t>1</w:t>
        </w:r>
        <w:r w:rsidRPr="00EF6B7F">
          <w:rPr>
            <w:rStyle w:val="Hyperlink"/>
            <w:noProof/>
            <w:lang w:val="sr-Cyrl-CS" w:eastAsia="sr-Latn-CS"/>
          </w:rPr>
          <w:t>2</w:t>
        </w:r>
        <w:r w:rsidRPr="00EF6B7F">
          <w:rPr>
            <w:rStyle w:val="Hyperlink"/>
            <w:noProof/>
            <w:lang w:val="it-IT" w:eastAsia="sr-Latn-CS"/>
          </w:rPr>
          <w:t xml:space="preserve"> </w:t>
        </w:r>
        <w:r w:rsidRPr="00EF6B7F">
          <w:rPr>
            <w:rStyle w:val="Hyperlink"/>
            <w:noProof/>
            <w:lang w:eastAsia="sr-Latn-CS"/>
          </w:rPr>
          <w:t>Статистике</w:t>
        </w:r>
        <w:r w:rsidRPr="00EF6B7F">
          <w:rPr>
            <w:rStyle w:val="Hyperlink"/>
            <w:noProof/>
            <w:lang w:val="it-IT" w:eastAsia="sr-Latn-CS"/>
          </w:rPr>
          <w:t xml:space="preserve"> </w:t>
        </w:r>
        <w:r w:rsidRPr="00EF6B7F">
          <w:rPr>
            <w:rStyle w:val="Hyperlink"/>
            <w:noProof/>
            <w:lang w:eastAsia="sr-Latn-CS"/>
          </w:rPr>
          <w:t>морталитета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_Toc529204148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9135A" w:rsidRDefault="0009135A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4149" w:history="1">
        <w:r w:rsidRPr="00EF6B7F">
          <w:rPr>
            <w:rStyle w:val="Hyperlink"/>
            <w:noProof/>
            <w:lang w:val="it-IT" w:eastAsia="sr-Latn-CS"/>
          </w:rPr>
          <w:t xml:space="preserve">12.1 </w:t>
        </w:r>
        <w:r w:rsidRPr="00EF6B7F">
          <w:rPr>
            <w:rStyle w:val="Hyperlink"/>
            <w:noProof/>
            <w:lang w:eastAsia="sr-Latn-CS"/>
          </w:rPr>
          <w:t>Стопе</w:t>
        </w:r>
        <w:r w:rsidRPr="00EF6B7F">
          <w:rPr>
            <w:rStyle w:val="Hyperlink"/>
            <w:noProof/>
            <w:lang w:val="it-IT" w:eastAsia="sr-Latn-CS"/>
          </w:rPr>
          <w:t xml:space="preserve"> </w:t>
        </w:r>
        <w:r w:rsidRPr="00EF6B7F">
          <w:rPr>
            <w:rStyle w:val="Hyperlink"/>
            <w:noProof/>
            <w:lang w:eastAsia="sr-Latn-CS"/>
          </w:rPr>
          <w:t>морталитета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_Toc529204149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245D8" w:rsidRDefault="001070F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/>
        </w:rPr>
      </w:pPr>
    </w:p>
    <w:p w:rsidR="00FD43B5" w:rsidRDefault="00FD43B5" w:rsidP="001653E0">
      <w:pPr>
        <w:jc w:val="center"/>
        <w:rPr>
          <w:b/>
          <w:sz w:val="24"/>
          <w:szCs w:val="24"/>
          <w:lang/>
        </w:rPr>
      </w:pPr>
    </w:p>
    <w:p w:rsidR="00FD43B5" w:rsidRDefault="00FD43B5" w:rsidP="001653E0">
      <w:pPr>
        <w:jc w:val="center"/>
        <w:rPr>
          <w:b/>
          <w:sz w:val="24"/>
          <w:szCs w:val="24"/>
          <w:lang/>
        </w:rPr>
      </w:pPr>
    </w:p>
    <w:p w:rsidR="00FD43B5" w:rsidRDefault="00FD43B5" w:rsidP="001653E0">
      <w:pPr>
        <w:jc w:val="center"/>
        <w:rPr>
          <w:b/>
          <w:sz w:val="24"/>
          <w:szCs w:val="24"/>
          <w:lang/>
        </w:rPr>
      </w:pPr>
    </w:p>
    <w:p w:rsidR="00FD43B5" w:rsidRPr="00FD43B5" w:rsidRDefault="00FD43B5" w:rsidP="001653E0">
      <w:pPr>
        <w:jc w:val="center"/>
        <w:rPr>
          <w:b/>
          <w:sz w:val="24"/>
          <w:szCs w:val="24"/>
          <w:lang/>
        </w:rPr>
      </w:pPr>
    </w:p>
    <w:p w:rsidR="003729AC" w:rsidRDefault="003729AC" w:rsidP="001653E0">
      <w:pPr>
        <w:jc w:val="center"/>
        <w:rPr>
          <w:b/>
          <w:sz w:val="24"/>
          <w:szCs w:val="24"/>
        </w:rPr>
      </w:pPr>
    </w:p>
    <w:p w:rsidR="00AF0E79" w:rsidRDefault="00AF0E79" w:rsidP="001653E0">
      <w:pPr>
        <w:jc w:val="center"/>
        <w:rPr>
          <w:sz w:val="24"/>
          <w:szCs w:val="24"/>
          <w:lang/>
        </w:rPr>
      </w:pPr>
    </w:p>
    <w:p w:rsidR="00E27098" w:rsidRDefault="00E27098" w:rsidP="001653E0">
      <w:pPr>
        <w:jc w:val="center"/>
        <w:rPr>
          <w:sz w:val="24"/>
          <w:szCs w:val="24"/>
          <w:lang/>
        </w:rPr>
      </w:pPr>
    </w:p>
    <w:p w:rsidR="001653E0" w:rsidRPr="00E27098" w:rsidRDefault="002D3376" w:rsidP="001653E0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</w:t>
      </w:r>
      <w:r w:rsidR="001E006D">
        <w:rPr>
          <w:sz w:val="24"/>
          <w:szCs w:val="24"/>
          <w:lang w:val="sr-Cyrl-CS"/>
        </w:rPr>
        <w:t>р</w:t>
      </w:r>
      <w:r>
        <w:rPr>
          <w:sz w:val="24"/>
          <w:szCs w:val="24"/>
          <w:lang w:val="sr-Latn-CS"/>
        </w:rPr>
        <w:t>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E27098">
        <w:rPr>
          <w:sz w:val="24"/>
          <w:szCs w:val="24"/>
        </w:rPr>
        <w:t>1</w:t>
      </w:r>
      <w:r w:rsidR="00E27098">
        <w:rPr>
          <w:sz w:val="24"/>
          <w:szCs w:val="24"/>
          <w:lang/>
        </w:rPr>
        <w:t>1</w:t>
      </w:r>
    </w:p>
    <w:p w:rsidR="001653E0" w:rsidRDefault="001653E0" w:rsidP="001653E0">
      <w:pPr>
        <w:jc w:val="center"/>
        <w:rPr>
          <w:sz w:val="24"/>
          <w:szCs w:val="24"/>
          <w:lang/>
        </w:rPr>
      </w:pPr>
    </w:p>
    <w:p w:rsidR="00CD1B95" w:rsidRDefault="00CD1B95" w:rsidP="001653E0">
      <w:pPr>
        <w:jc w:val="center"/>
        <w:rPr>
          <w:sz w:val="24"/>
          <w:szCs w:val="24"/>
          <w:lang/>
        </w:rPr>
      </w:pPr>
    </w:p>
    <w:p w:rsidR="00CD1B95" w:rsidRPr="00CD1B95" w:rsidRDefault="00CD1B95" w:rsidP="001653E0">
      <w:pPr>
        <w:jc w:val="center"/>
        <w:rPr>
          <w:sz w:val="24"/>
          <w:szCs w:val="24"/>
          <w:lang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CD1B95" w:rsidRPr="00E27098">
        <w:rPr>
          <w:b/>
          <w:lang w:val="sr-Cyrl-CS"/>
        </w:rPr>
        <w:t>КЛИНИЧКА МЕРЕЊА И СТАТИСТИКЕ МОРТАЛИТЕТА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ED2E6B" w:rsidRDefault="00CD1B95" w:rsidP="00ED2E6B">
      <w:pPr>
        <w:pStyle w:val="Heading1"/>
        <w:rPr>
          <w:lang w:val="sr-Cyrl-CS"/>
        </w:rPr>
      </w:pPr>
      <w:bookmarkStart w:id="1" w:name="_Toc529204143"/>
      <w:r w:rsidRPr="00CD1B95">
        <w:rPr>
          <w:lang w:val="sr-Cyrl-CS"/>
        </w:rPr>
        <w:t>Клиничка мерења и статистике морталитета</w:t>
      </w:r>
      <w:bookmarkEnd w:id="1"/>
    </w:p>
    <w:p w:rsidR="003E3CC3" w:rsidRPr="00CE23A0" w:rsidRDefault="003E3CC3" w:rsidP="003E3CC3">
      <w:pPr>
        <w:pStyle w:val="Heading2"/>
        <w:rPr>
          <w:lang w:val="it-IT" w:eastAsia="sr-Latn-CS"/>
        </w:rPr>
      </w:pPr>
      <w:bookmarkStart w:id="2" w:name="_Toc261679009"/>
      <w:bookmarkStart w:id="3" w:name="_Toc465612082"/>
      <w:bookmarkStart w:id="4" w:name="_Toc529204144"/>
      <w:r>
        <w:rPr>
          <w:lang w:val="sr-Cyrl-CS" w:eastAsia="sr-Latn-CS"/>
        </w:rPr>
        <w:t>11</w:t>
      </w:r>
      <w:r w:rsidRPr="00CE23A0">
        <w:rPr>
          <w:lang w:val="it-IT" w:eastAsia="sr-Latn-CS"/>
        </w:rPr>
        <w:t xml:space="preserve"> </w:t>
      </w:r>
      <w:bookmarkEnd w:id="2"/>
      <w:r w:rsidRPr="009D5139">
        <w:rPr>
          <w:lang w:eastAsia="sr-Latn-CS"/>
        </w:rPr>
        <w:t>Клиничка</w:t>
      </w:r>
      <w:r w:rsidRPr="00CE23A0">
        <w:rPr>
          <w:lang w:val="it-IT" w:eastAsia="sr-Latn-CS"/>
        </w:rPr>
        <w:t xml:space="preserve"> </w:t>
      </w:r>
      <w:r w:rsidRPr="009D5139">
        <w:rPr>
          <w:lang w:eastAsia="sr-Latn-CS"/>
        </w:rPr>
        <w:t>мерења</w:t>
      </w:r>
      <w:bookmarkEnd w:id="3"/>
      <w:bookmarkEnd w:id="4"/>
    </w:p>
    <w:p w:rsidR="003E3CC3" w:rsidRPr="00CE23A0" w:rsidRDefault="003E3CC3" w:rsidP="003E3CC3">
      <w:pPr>
        <w:pStyle w:val="Heading3"/>
        <w:spacing w:before="120"/>
        <w:rPr>
          <w:lang w:val="it-IT" w:eastAsia="sr-Latn-CS"/>
        </w:rPr>
      </w:pPr>
      <w:bookmarkStart w:id="5" w:name="_Toc261679010"/>
      <w:bookmarkStart w:id="6" w:name="_Toc465612083"/>
      <w:bookmarkStart w:id="7" w:name="_Toc529204145"/>
      <w:r w:rsidRPr="00CE23A0">
        <w:rPr>
          <w:lang w:val="it-IT" w:eastAsia="sr-Latn-CS"/>
        </w:rPr>
        <w:t xml:space="preserve">11.1 </w:t>
      </w:r>
      <w:bookmarkEnd w:id="5"/>
      <w:r w:rsidRPr="00FC3806">
        <w:rPr>
          <w:lang w:eastAsia="sr-Latn-CS"/>
        </w:rPr>
        <w:t>Спровођење</w:t>
      </w:r>
      <w:r w:rsidRPr="00CE23A0">
        <w:rPr>
          <w:lang w:val="it-IT" w:eastAsia="sr-Latn-CS"/>
        </w:rPr>
        <w:t xml:space="preserve"> </w:t>
      </w:r>
      <w:r w:rsidRPr="00FC3806">
        <w:rPr>
          <w:lang w:eastAsia="sr-Latn-CS"/>
        </w:rPr>
        <w:t>мерења</w:t>
      </w:r>
      <w:bookmarkEnd w:id="6"/>
      <w:bookmarkEnd w:id="7"/>
    </w:p>
    <w:p w:rsidR="003E3CC3" w:rsidRPr="0095267B" w:rsidRDefault="003E3CC3" w:rsidP="003E3CC3">
      <w:pPr>
        <w:spacing w:before="0"/>
        <w:rPr>
          <w:rFonts w:cs="Arial"/>
          <w:lang w:val="it-IT"/>
        </w:rPr>
      </w:pPr>
      <w:r>
        <w:rPr>
          <w:rFonts w:cs="Arial"/>
        </w:rPr>
        <w:t>Када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изводимо </w:t>
      </w:r>
      <w:r>
        <w:rPr>
          <w:rFonts w:cs="Arial"/>
        </w:rPr>
        <w:t>мерење</w:t>
      </w:r>
      <w:r w:rsidRPr="00CE23A0">
        <w:rPr>
          <w:rFonts w:cs="Arial"/>
          <w:lang w:val="it-IT"/>
        </w:rPr>
        <w:t xml:space="preserve">, </w:t>
      </w:r>
      <w:r>
        <w:rPr>
          <w:rFonts w:cs="Arial"/>
        </w:rPr>
        <w:t>нарочито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биолошко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мерење</w:t>
      </w:r>
      <w:r w:rsidRPr="00CE23A0">
        <w:rPr>
          <w:rFonts w:cs="Arial"/>
          <w:lang w:val="it-IT"/>
        </w:rPr>
        <w:t xml:space="preserve">, </w:t>
      </w:r>
      <w:r>
        <w:rPr>
          <w:rFonts w:cs="Arial"/>
        </w:rPr>
        <w:t>број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који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добијамо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резултат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је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неколико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ствари</w:t>
      </w:r>
      <w:r w:rsidRPr="00CE23A0">
        <w:rPr>
          <w:rFonts w:cs="Arial"/>
          <w:lang w:val="it-IT"/>
        </w:rPr>
        <w:t xml:space="preserve">: </w:t>
      </w:r>
      <w:r>
        <w:rPr>
          <w:rFonts w:cs="Arial"/>
        </w:rPr>
        <w:t>праве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вредности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квантитета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кој</w:t>
      </w:r>
      <w:r>
        <w:rPr>
          <w:rFonts w:cs="Arial"/>
          <w:lang w:val="sr-Cyrl-CS"/>
        </w:rPr>
        <w:t>и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желимо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да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измеримо</w:t>
      </w:r>
      <w:r w:rsidRPr="00CE23A0">
        <w:rPr>
          <w:rFonts w:cs="Arial"/>
          <w:lang w:val="it-IT"/>
        </w:rPr>
        <w:t xml:space="preserve">, </w:t>
      </w:r>
      <w:r>
        <w:rPr>
          <w:rFonts w:cs="Arial"/>
        </w:rPr>
        <w:t>биолошке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варијације</w:t>
      </w:r>
      <w:r w:rsidRPr="00CE23A0">
        <w:rPr>
          <w:rFonts w:cs="Arial"/>
          <w:lang w:val="it-IT"/>
        </w:rPr>
        <w:t xml:space="preserve">, </w:t>
      </w:r>
      <w:r>
        <w:rPr>
          <w:rFonts w:cs="Arial"/>
        </w:rPr>
        <w:t>самог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инструмента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мерења</w:t>
      </w:r>
      <w:r w:rsidRPr="00CE23A0">
        <w:rPr>
          <w:rFonts w:cs="Arial"/>
          <w:lang w:val="it-IT"/>
        </w:rPr>
        <w:t xml:space="preserve">, </w:t>
      </w:r>
      <w:r>
        <w:rPr>
          <w:rFonts w:cs="Arial"/>
        </w:rPr>
        <w:t>положај</w:t>
      </w:r>
      <w:r>
        <w:rPr>
          <w:rFonts w:cs="Arial"/>
          <w:lang w:val="sr-Cyrl-CS"/>
        </w:rPr>
        <w:t>а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субјекта</w:t>
      </w:r>
      <w:r w:rsidRPr="00CE23A0">
        <w:rPr>
          <w:rFonts w:cs="Arial"/>
          <w:lang w:val="it-IT"/>
        </w:rPr>
        <w:t xml:space="preserve">, </w:t>
      </w:r>
      <w:r>
        <w:rPr>
          <w:rFonts w:cs="Arial"/>
        </w:rPr>
        <w:t>вештине</w:t>
      </w:r>
      <w:r w:rsidRPr="00CE23A0">
        <w:rPr>
          <w:rFonts w:cs="Arial"/>
          <w:lang w:val="it-IT"/>
        </w:rPr>
        <w:t xml:space="preserve">, </w:t>
      </w:r>
      <w:r>
        <w:rPr>
          <w:rFonts w:cs="Arial"/>
        </w:rPr>
        <w:t>искуства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и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очекивања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посматрача</w:t>
      </w:r>
      <w:r w:rsidRPr="00CE23A0">
        <w:rPr>
          <w:rFonts w:cs="Arial"/>
          <w:lang w:val="it-IT"/>
        </w:rPr>
        <w:t xml:space="preserve">, </w:t>
      </w:r>
      <w:r>
        <w:rPr>
          <w:rFonts w:cs="Arial"/>
        </w:rPr>
        <w:t>па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чак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и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односа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између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посматрача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и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субјекта</w:t>
      </w:r>
      <w:r w:rsidRPr="00CE23A0">
        <w:rPr>
          <w:rFonts w:cs="Arial"/>
          <w:lang w:val="it-IT"/>
        </w:rPr>
        <w:t xml:space="preserve">. </w:t>
      </w:r>
      <w:r>
        <w:rPr>
          <w:rFonts w:cs="Arial"/>
        </w:rPr>
        <w:t>Неки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од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ових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фактора</w:t>
      </w:r>
      <w:r w:rsidRPr="00CE23A0">
        <w:rPr>
          <w:rFonts w:cs="Arial"/>
          <w:lang w:val="it-IT"/>
        </w:rPr>
        <w:t xml:space="preserve">, </w:t>
      </w:r>
      <w:r>
        <w:rPr>
          <w:rFonts w:cs="Arial"/>
        </w:rPr>
        <w:t>као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што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је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варијација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у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оквиру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субјекта</w:t>
      </w:r>
      <w:r w:rsidRPr="00CE23A0">
        <w:rPr>
          <w:rFonts w:cs="Arial"/>
          <w:lang w:val="it-IT"/>
        </w:rPr>
        <w:t xml:space="preserve">, </w:t>
      </w:r>
      <w:r>
        <w:rPr>
          <w:rFonts w:cs="Arial"/>
        </w:rPr>
        <w:t>су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ван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контроле</w:t>
      </w:r>
      <w:r w:rsidRPr="00CE23A0">
        <w:rPr>
          <w:rFonts w:cs="Arial"/>
          <w:lang w:val="it-IT"/>
        </w:rPr>
        <w:t xml:space="preserve"> </w:t>
      </w:r>
      <w:r>
        <w:rPr>
          <w:rFonts w:cs="Arial"/>
        </w:rPr>
        <w:t>посматрача</w:t>
      </w:r>
      <w:r w:rsidRPr="00CE23A0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Други</w:t>
      </w:r>
      <w:r>
        <w:rPr>
          <w:rFonts w:cs="Arial"/>
          <w:lang w:val="sr-Cyrl-CS"/>
        </w:rPr>
        <w:t xml:space="preserve"> фактори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положај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нису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важно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стандардизују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Један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фактор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највише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нашом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контролом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прецизност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прочитати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скале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снимити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резултат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крвни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притисак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неки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посматрачи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забележе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најближ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5 </w:t>
      </w:r>
      <w:r w:rsidRPr="000C6780">
        <w:rPr>
          <w:rFonts w:cs="Arial"/>
          <w:color w:val="0A0905"/>
          <w:lang w:val="sr-Latn-CS" w:eastAsia="sr-Latn-CS"/>
        </w:rPr>
        <w:t>mm Hg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други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најближе</w:t>
      </w:r>
      <w:r>
        <w:rPr>
          <w:rFonts w:cs="Arial"/>
          <w:lang w:val="sr-Cyrl-CS"/>
        </w:rPr>
        <w:t xml:space="preserve"> </w:t>
      </w:r>
      <w:r w:rsidRPr="0095267B">
        <w:rPr>
          <w:rFonts w:cs="Arial"/>
          <w:lang w:val="it-IT"/>
        </w:rPr>
        <w:t xml:space="preserve">10 </w:t>
      </w:r>
      <w:r w:rsidRPr="000C6780">
        <w:rPr>
          <w:rFonts w:cs="Arial"/>
          <w:color w:val="0A0905"/>
          <w:lang w:val="sr-Latn-CS" w:eastAsia="sr-Latn-CS"/>
        </w:rPr>
        <w:t>mm Hg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Неки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посматрачи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забележити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дијастол</w:t>
      </w:r>
      <w:r>
        <w:rPr>
          <w:rFonts w:cs="Arial"/>
          <w:lang w:val="sr-Cyrl-CS"/>
        </w:rPr>
        <w:t>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притисак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Korotkov</w:t>
      </w:r>
      <w:r>
        <w:rPr>
          <w:rFonts w:cs="Arial"/>
          <w:color w:val="0A0905"/>
          <w:lang w:val="sr-Latn-CS" w:eastAsia="sr-Latn-CS"/>
        </w:rPr>
        <w:t>-ов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звук</w:t>
      </w:r>
      <w:r w:rsidRPr="000C4171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четири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други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пет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Посматрачи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мисле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крвни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притисак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</w:t>
      </w:r>
      <w:r>
        <w:rPr>
          <w:rFonts w:cs="Arial"/>
          <w:lang w:val="sr-Cyrl-CS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квантитет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грешке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бележењу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опсега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неважне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праћењу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индивидуалног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пацијента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такав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недостатак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униформности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учинити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очигледне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тешко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протумачити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истраживању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непрецизна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довести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проблема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анализи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губитка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снаге</w:t>
      </w:r>
      <w:r w:rsidRPr="0095267B">
        <w:rPr>
          <w:rFonts w:cs="Arial"/>
          <w:lang w:val="it-IT"/>
        </w:rPr>
        <w:t>.</w:t>
      </w:r>
    </w:p>
    <w:p w:rsidR="003E3CC3" w:rsidRPr="0095267B" w:rsidRDefault="003E3CC3" w:rsidP="003E3CC3">
      <w:pPr>
        <w:spacing w:before="0"/>
        <w:ind w:firstLine="720"/>
        <w:rPr>
          <w:rFonts w:cs="Arial"/>
          <w:lang w:val="sv-SE"/>
        </w:rPr>
      </w:pPr>
      <w:r>
        <w:rPr>
          <w:rFonts w:cs="Arial"/>
          <w:lang w:val="it-IT"/>
        </w:rPr>
        <w:t>Колико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прецизно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забележимо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податке</w:t>
      </w:r>
      <w:r w:rsidRPr="0095267B">
        <w:rPr>
          <w:rFonts w:cs="Arial"/>
          <w:lang w:val="it-IT"/>
        </w:rPr>
        <w:t xml:space="preserve">? </w:t>
      </w:r>
      <w:r>
        <w:rPr>
          <w:rFonts w:cs="Arial"/>
          <w:lang w:val="it-IT"/>
        </w:rPr>
        <w:t>Док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зависити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одређене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сврхе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забележе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подвргнути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статистичкој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анализи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забележени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прецизније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Студија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онолико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колико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често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веома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скупи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одузимају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времена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прикупе</w:t>
      </w:r>
      <w:r w:rsidRPr="0095267B">
        <w:rPr>
          <w:rFonts w:cs="Arial"/>
          <w:lang w:val="it-IT"/>
        </w:rPr>
        <w:t xml:space="preserve">. O </w:t>
      </w:r>
      <w:r>
        <w:rPr>
          <w:rFonts w:cs="Arial"/>
          <w:lang w:val="it-IT"/>
        </w:rPr>
        <w:t>прецизности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color w:val="FFCC99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забележе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процедурама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мерењу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одлучити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унапред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формулисати 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протоколу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писменој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изјави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томе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студија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спровести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Треба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уму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прецизност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бележења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зависи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забележених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значајних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цифара</w:t>
      </w:r>
      <w:r>
        <w:rPr>
          <w:rFonts w:cs="Arial"/>
          <w:lang w:val="sr-Cyrl-CS"/>
        </w:rPr>
        <w:t xml:space="preserve"> (део 2.2),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децималних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места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Посматрања</w:t>
      </w:r>
      <w:r w:rsidRPr="0095267B">
        <w:rPr>
          <w:rFonts w:cs="Arial"/>
          <w:lang w:val="it-IT"/>
        </w:rPr>
        <w:t xml:space="preserve"> 0.15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1.66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1</w:t>
      </w:r>
      <w:r w:rsidRPr="0095267B">
        <w:rPr>
          <w:rFonts w:cs="Arial"/>
          <w:lang w:val="it-IT"/>
        </w:rPr>
        <w:t xml:space="preserve">.8,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забележена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децимална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места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али</w:t>
      </w:r>
      <w:r w:rsidRPr="0095267B">
        <w:rPr>
          <w:rFonts w:cs="Arial"/>
          <w:lang w:val="it-IT"/>
        </w:rPr>
        <w:t xml:space="preserve"> 0.15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значајне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цифре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1.66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Друго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посматрање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забележено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прецизније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постаје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веома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важно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дођемо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анализ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података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јер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>
        <w:rPr>
          <w:rFonts w:cs="Arial"/>
          <w:lang w:val="sr-Cyrl-CS"/>
        </w:rPr>
        <w:t xml:space="preserve"> т</w:t>
      </w:r>
      <w:r>
        <w:rPr>
          <w:rFonts w:cs="Arial"/>
          <w:lang w:val="it-IT"/>
        </w:rPr>
        <w:t>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1</w:t>
      </w:r>
      <w:r w:rsidRPr="0095267B">
        <w:rPr>
          <w:rFonts w:cs="Arial"/>
          <w:lang w:val="it-IT"/>
        </w:rPr>
        <w:t xml:space="preserve">.8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искошену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желимо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логаритамски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трансформишемо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sv-SE"/>
        </w:rPr>
        <w:t>Велика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непрецизност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бележења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доњем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крају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скале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увећана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трансформацијом</w:t>
      </w:r>
      <w:r w:rsidRPr="0095267B">
        <w:rPr>
          <w:rFonts w:cs="Arial"/>
          <w:lang w:val="sv-SE"/>
        </w:rPr>
        <w:t>.</w:t>
      </w:r>
    </w:p>
    <w:p w:rsidR="003E3CC3" w:rsidRPr="000C6780" w:rsidRDefault="003E3CC3" w:rsidP="003E3CC3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мерењу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обично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постоји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неизвесност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код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последње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цифре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Посматрачи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ће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често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имати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неке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вредности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ову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последњу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цифру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кој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чешће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бележе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других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it-IT"/>
        </w:rPr>
        <w:t>Многи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посматрачи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забележити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граничну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девет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један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познато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преференција</w:t>
      </w:r>
      <w:r w:rsidRPr="0095267B">
        <w:rPr>
          <w:rFonts w:cs="Arial"/>
          <w:b/>
          <w:lang w:val="it-IT"/>
        </w:rPr>
        <w:t xml:space="preserve"> </w:t>
      </w:r>
      <w:r>
        <w:rPr>
          <w:rFonts w:cs="Arial"/>
          <w:b/>
          <w:lang w:val="it-IT"/>
        </w:rPr>
        <w:t>цифре</w:t>
      </w:r>
      <w:r>
        <w:rPr>
          <w:rFonts w:cs="Arial"/>
          <w:lang w:val="sr-Cyrl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digit preference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Склоност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читању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крвног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притиска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најближ</w:t>
      </w:r>
      <w:r>
        <w:rPr>
          <w:rFonts w:cs="Arial"/>
          <w:lang w:val="sr-Cyrl-CS"/>
        </w:rPr>
        <w:t>их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10 </w:t>
      </w:r>
      <w:r w:rsidRPr="000C6780">
        <w:rPr>
          <w:rFonts w:cs="Arial"/>
          <w:color w:val="0A0905"/>
          <w:lang w:val="sr-Latn-CS" w:eastAsia="sr-Latn-CS"/>
        </w:rPr>
        <w:t>mm Hg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поменута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претходно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бука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посматрача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проблему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помажу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минимизира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преференција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цифре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читања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довољно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значајних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цифара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последња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цифра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неважна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Преференција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цифре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нарочито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важна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последњој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цифри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значаја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исход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11.</w:t>
      </w:r>
      <w:r w:rsidRPr="0095267B">
        <w:rPr>
          <w:rFonts w:cs="Arial"/>
          <w:lang w:val="it-IT"/>
        </w:rPr>
        <w:t xml:space="preserve">1, </w:t>
      </w:r>
      <w:r>
        <w:rPr>
          <w:rFonts w:cs="Arial"/>
          <w:lang w:val="it-IT"/>
        </w:rPr>
        <w:t>где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бавимо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слична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Због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грешка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lastRenderedPageBreak/>
        <w:t>мерни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инструмент за мерење 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очитавање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скупом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</w:t>
      </w:r>
      <w:r>
        <w:rPr>
          <w:rFonts w:cs="Arial"/>
          <w:lang w:val="sr-Cyrl-CS"/>
        </w:rPr>
        <w:t>и мерни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инструмент 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очитавање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другим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скупом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услова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њихов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степен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преференције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цифре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разликовати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важно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договори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прецизности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бележити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обезбеди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инструменти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довољно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фине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скале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следи</w:t>
      </w:r>
      <w:r w:rsidRPr="0095267B">
        <w:rPr>
          <w:rFonts w:cs="Arial"/>
          <w:lang w:val="it-IT"/>
        </w:rPr>
        <w:t>.</w:t>
      </w:r>
    </w:p>
    <w:p w:rsidR="003E3CC3" w:rsidRPr="005C1370" w:rsidRDefault="003E3CC3" w:rsidP="003E3CC3">
      <w:pPr>
        <w:pStyle w:val="Heading3"/>
        <w:rPr>
          <w:lang w:val="sr-Cyrl-CS" w:eastAsia="sr-Latn-CS"/>
        </w:rPr>
      </w:pPr>
      <w:bookmarkStart w:id="8" w:name="_Toc261679011"/>
      <w:bookmarkStart w:id="9" w:name="_Toc465612084"/>
      <w:bookmarkStart w:id="10" w:name="_Toc529204146"/>
      <w:r>
        <w:rPr>
          <w:lang w:eastAsia="sr-Latn-CS"/>
        </w:rPr>
        <w:t>11.</w:t>
      </w:r>
      <w:r>
        <w:rPr>
          <w:lang w:val="sr-Cyrl-CS" w:eastAsia="sr-Latn-CS"/>
        </w:rPr>
        <w:t>2</w:t>
      </w:r>
      <w:r w:rsidRPr="000C6780">
        <w:rPr>
          <w:lang w:eastAsia="sr-Latn-CS"/>
        </w:rPr>
        <w:t xml:space="preserve"> </w:t>
      </w:r>
      <w:r>
        <w:rPr>
          <w:lang w:eastAsia="sr-Latn-CS"/>
        </w:rPr>
        <w:t>Сензитивност</w:t>
      </w:r>
      <w:r w:rsidRPr="005C1370">
        <w:rPr>
          <w:lang w:eastAsia="sr-Latn-CS"/>
        </w:rPr>
        <w:t xml:space="preserve"> и специфичност </w:t>
      </w:r>
      <w:r>
        <w:rPr>
          <w:lang w:val="sr-Cyrl-CS" w:eastAsia="sr-Latn-CS"/>
        </w:rPr>
        <w:t>(</w:t>
      </w:r>
      <w:r w:rsidRPr="000C6780">
        <w:rPr>
          <w:lang w:eastAsia="sr-Latn-CS"/>
        </w:rPr>
        <w:t>sensitivity and specificity</w:t>
      </w:r>
      <w:bookmarkEnd w:id="8"/>
      <w:r>
        <w:rPr>
          <w:lang w:val="sr-Cyrl-CS" w:eastAsia="sr-Latn-CS"/>
        </w:rPr>
        <w:t>)</w:t>
      </w:r>
      <w:bookmarkEnd w:id="9"/>
      <w:bookmarkEnd w:id="10"/>
    </w:p>
    <w:p w:rsidR="003E3CC3" w:rsidRPr="0095267B" w:rsidRDefault="003E3CC3" w:rsidP="003E3CC3">
      <w:pPr>
        <w:spacing w:before="0" w:after="120"/>
        <w:rPr>
          <w:rFonts w:cs="Arial"/>
          <w:lang w:val="it-IT"/>
        </w:rPr>
      </w:pPr>
      <w:r>
        <w:rPr>
          <w:rFonts w:cs="Arial"/>
          <w:lang w:val="it-IT"/>
        </w:rPr>
        <w:t>Један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главних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разлога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спровођење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клиничких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помогне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дијагностици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да </w:t>
      </w:r>
      <w:r>
        <w:rPr>
          <w:rFonts w:cs="Arial"/>
          <w:lang w:val="it-IT"/>
        </w:rPr>
        <w:t>б</w:t>
      </w:r>
      <w:r>
        <w:rPr>
          <w:rFonts w:cs="Arial"/>
          <w:lang w:val="sr-Cyrl-CS"/>
        </w:rPr>
        <w:t>уде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идентифик</w:t>
      </w:r>
      <w:r>
        <w:rPr>
          <w:rFonts w:cs="Arial"/>
          <w:lang w:val="sr-Cyrl-CS"/>
        </w:rPr>
        <w:t>овање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неколико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дијагноза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пацијента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 </w:t>
      </w:r>
      <w:r>
        <w:rPr>
          <w:rFonts w:cs="Arial"/>
          <w:lang w:val="it-IT"/>
        </w:rPr>
        <w:t>прона</w:t>
      </w:r>
      <w:r>
        <w:rPr>
          <w:rFonts w:cs="Arial"/>
          <w:lang w:val="sr-Cyrl-CS"/>
        </w:rPr>
        <w:t>лажење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људи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одређеним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обо</w:t>
      </w:r>
      <w:r>
        <w:rPr>
          <w:rFonts w:cs="Arial"/>
          <w:lang w:val="sr-Cyrl-CS"/>
        </w:rPr>
        <w:t>љ</w:t>
      </w:r>
      <w:r>
        <w:rPr>
          <w:rFonts w:cs="Arial"/>
          <w:lang w:val="it-IT"/>
        </w:rPr>
        <w:t>ењем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очигледно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здравој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популацији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последње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познат</w:t>
      </w:r>
      <w:r>
        <w:rPr>
          <w:rFonts w:cs="Arial"/>
          <w:lang w:val="sr-Cyrl-CS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скрининг (</w:t>
      </w:r>
      <w:r w:rsidRPr="00850399">
        <w:rPr>
          <w:rFonts w:cs="Arial"/>
          <w:i/>
          <w:color w:val="0A0905"/>
          <w:lang w:val="sr-Latn-CS" w:eastAsia="sr-Latn-CS"/>
        </w:rPr>
        <w:t>screening</w:t>
      </w:r>
      <w:r w:rsidRPr="00537E7E">
        <w:rPr>
          <w:rFonts w:cs="Arial"/>
          <w:color w:val="auto"/>
          <w:lang w:val="sr-Cyrl-CS"/>
        </w:rPr>
        <w:t>)</w:t>
      </w:r>
      <w:r w:rsidRPr="00537E7E">
        <w:rPr>
          <w:rFonts w:cs="Arial"/>
          <w:color w:val="auto"/>
          <w:lang w:val="it-IT"/>
        </w:rPr>
        <w:t>. У сваком 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обезбеђује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омогућава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класификујемо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субјекте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прва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сматрамо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заинтересовани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неће</w:t>
      </w:r>
      <w:r>
        <w:rPr>
          <w:rFonts w:cs="Arial"/>
          <w:lang w:val="sr-Cyrl-CS"/>
        </w:rPr>
        <w:t xml:space="preserve"> имати болест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 </w:t>
      </w:r>
      <w:r>
        <w:rPr>
          <w:rFonts w:cs="Arial"/>
          <w:lang w:val="it-IT"/>
        </w:rPr>
        <w:t>развијамо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такав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потребно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упоредимо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резултат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правом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дијагнозом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заснива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непрекидној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означеној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изнад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нивоа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квалитативно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запажање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месту</w:t>
      </w:r>
      <w:r>
        <w:rPr>
          <w:rFonts w:cs="Arial"/>
          <w:lang w:val="sr-Cyrl-CS"/>
        </w:rPr>
        <w:t xml:space="preserve"> (</w:t>
      </w:r>
      <w:r w:rsidRPr="000C6780">
        <w:rPr>
          <w:rFonts w:cs="Arial"/>
          <w:i/>
          <w:iCs/>
          <w:color w:val="0A0905"/>
          <w:lang w:val="sr-Latn-CS" w:eastAsia="sr-Latn-CS"/>
        </w:rPr>
        <w:t>in situ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ћелија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грлића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материце</w:t>
      </w:r>
      <w:r>
        <w:rPr>
          <w:rFonts w:cs="Arial"/>
          <w:lang w:val="sr-Cyrl-CS"/>
        </w:rPr>
        <w:t xml:space="preserve"> (</w:t>
      </w:r>
      <w:r w:rsidRPr="003E6ED2">
        <w:rPr>
          <w:rFonts w:cs="Arial"/>
          <w:i/>
          <w:color w:val="0A0905"/>
          <w:lang w:val="sr-Latn-CS" w:eastAsia="sr-Latn-CS"/>
        </w:rPr>
        <w:t>cervical smear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сваком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</w:t>
      </w:r>
      <w:r>
        <w:rPr>
          <w:rFonts w:cs="Arial"/>
          <w:lang w:val="sr-Cyrl-CS"/>
        </w:rPr>
        <w:t>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позитивним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>
        <w:rPr>
          <w:rFonts w:cs="Arial"/>
          <w:lang w:val="sr-Cyrl-CS"/>
        </w:rPr>
        <w:t xml:space="preserve"> указује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касније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потврђена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 xml:space="preserve">а </w:t>
      </w:r>
      <w:r>
        <w:rPr>
          <w:rFonts w:cs="Arial"/>
          <w:lang w:val="it-IT"/>
        </w:rPr>
        <w:t>негативном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касније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потврђена</w:t>
      </w:r>
      <w:r w:rsidRPr="0095267B">
        <w:rPr>
          <w:rFonts w:cs="Arial"/>
          <w:lang w:val="it-IT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107"/>
      </w:tblGrid>
      <w:tr w:rsidR="003E3CC3" w:rsidRPr="00766CBB" w:rsidTr="003E3CC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766CBB" w:rsidRDefault="003E3CC3" w:rsidP="003E3CC3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766CBB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11.1</w:t>
            </w:r>
            <w:r w:rsidRPr="00766CBB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В</w:t>
            </w:r>
            <w:r>
              <w:rPr>
                <w:rFonts w:cs="Arial"/>
                <w:lang w:val="sv-SE"/>
              </w:rPr>
              <w:t>ештачки</w:t>
            </w:r>
            <w:r w:rsidRPr="0095267B">
              <w:rPr>
                <w:rFonts w:cs="Arial"/>
                <w:lang w:val="sv-SE"/>
              </w:rPr>
              <w:t xml:space="preserve"> </w:t>
            </w:r>
            <w:r>
              <w:rPr>
                <w:rFonts w:cs="Arial"/>
                <w:lang w:val="sv-SE"/>
              </w:rPr>
              <w:t>тест</w:t>
            </w:r>
            <w:r w:rsidRPr="0095267B">
              <w:rPr>
                <w:rFonts w:cs="Arial"/>
                <w:lang w:val="sv-SE"/>
              </w:rPr>
              <w:t xml:space="preserve"> </w:t>
            </w:r>
            <w:r>
              <w:rPr>
                <w:rFonts w:cs="Arial"/>
                <w:lang w:val="sv-SE"/>
              </w:rPr>
              <w:t>и</w:t>
            </w:r>
            <w:r w:rsidRPr="0095267B">
              <w:rPr>
                <w:rFonts w:cs="Arial"/>
                <w:lang w:val="sv-SE"/>
              </w:rPr>
              <w:t xml:space="preserve"> </w:t>
            </w:r>
            <w:r>
              <w:rPr>
                <w:rFonts w:cs="Arial"/>
                <w:lang w:val="sv-SE"/>
              </w:rPr>
              <w:t>дијагнозе</w:t>
            </w:r>
            <w:r w:rsidRPr="0095267B">
              <w:rPr>
                <w:rFonts w:cs="Arial"/>
                <w:lang w:val="sv-SE"/>
              </w:rPr>
              <w:t xml:space="preserve"> </w:t>
            </w:r>
            <w:r>
              <w:rPr>
                <w:rFonts w:cs="Arial"/>
                <w:lang w:val="sv-SE"/>
              </w:rPr>
              <w:t>података</w:t>
            </w:r>
          </w:p>
        </w:tc>
      </w:tr>
      <w:tr w:rsidR="003E3CC3" w:rsidRPr="00766CBB" w:rsidTr="003E3CC3">
        <w:trPr>
          <w:trHeight w:val="3063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41"/>
              <w:gridCol w:w="579"/>
              <w:gridCol w:w="619"/>
              <w:gridCol w:w="579"/>
              <w:gridCol w:w="730"/>
              <w:gridCol w:w="579"/>
              <w:gridCol w:w="619"/>
              <w:gridCol w:w="895"/>
            </w:tblGrid>
            <w:tr w:rsidR="003E3CC3" w:rsidRPr="00766CBB" w:rsidTr="003E3CC3">
              <w:trPr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F7009D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Болест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Тест</w:t>
                  </w:r>
                  <w:r w:rsidRPr="00766CB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1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Тест</w:t>
                  </w:r>
                  <w:r w:rsidRPr="00766CB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2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Тест</w:t>
                  </w:r>
                  <w:r w:rsidRPr="00766CB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3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3E3CC3" w:rsidRPr="00766CBB" w:rsidTr="003E3CC3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+ve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-ve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+ve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-ve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+ve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-ve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</w:tr>
            <w:tr w:rsidR="003E3CC3" w:rsidRPr="00766CBB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F7009D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</w:tr>
            <w:tr w:rsidR="003E3CC3" w:rsidRPr="00766CBB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F7009D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Не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95</w:t>
                  </w:r>
                </w:p>
              </w:tc>
            </w:tr>
            <w:tr w:rsidR="003E3CC3" w:rsidRPr="00766CBB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766CBB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66CBB">
                    <w:rPr>
                      <w:rFonts w:cs="Arial"/>
                      <w:color w:val="0A0905"/>
                      <w:lang w:val="sr-Latn-CS" w:eastAsia="sr-Latn-CS"/>
                    </w:rPr>
                    <w:t>100</w:t>
                  </w:r>
                </w:p>
              </w:tc>
            </w:tr>
          </w:tbl>
          <w:p w:rsidR="003E3CC3" w:rsidRPr="00766CBB" w:rsidRDefault="003E3CC3" w:rsidP="003E3CC3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3E3CC3" w:rsidRDefault="003E3CC3" w:rsidP="003E3CC3">
      <w:pPr>
        <w:spacing w:before="0"/>
        <w:ind w:firstLine="720"/>
        <w:rPr>
          <w:rFonts w:cs="Arial"/>
          <w:lang w:val="sr-Cyrl-CS"/>
        </w:rPr>
      </w:pPr>
    </w:p>
    <w:p w:rsidR="003E3CC3" w:rsidRDefault="003E3CC3" w:rsidP="003E3CC3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Како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меримо</w:t>
      </w:r>
      <w:r w:rsidRPr="0095267B">
        <w:rPr>
          <w:rFonts w:cs="Arial"/>
          <w:lang w:val="it-IT"/>
        </w:rPr>
        <w:t xml:space="preserve"> </w:t>
      </w:r>
      <w:r w:rsidRPr="003B52C1">
        <w:rPr>
          <w:rFonts w:cs="Arial"/>
          <w:lang w:val="it-IT"/>
        </w:rPr>
        <w:t xml:space="preserve">ефикасност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?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11.1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вештачка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скупа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Могли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узети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показатељ</w:t>
      </w:r>
      <w:r w:rsidRPr="0095267B">
        <w:rPr>
          <w:rFonts w:cs="Arial"/>
          <w:lang w:val="it-IT"/>
        </w:rPr>
        <w:t xml:space="preserve"> </w:t>
      </w:r>
      <w:r w:rsidRPr="003B52C1">
        <w:rPr>
          <w:rFonts w:cs="Arial"/>
          <w:lang w:val="it-IT"/>
        </w:rPr>
        <w:t>ефикасност</w:t>
      </w:r>
      <w:r>
        <w:rPr>
          <w:rFonts w:cs="Arial"/>
          <w:lang w:val="sr-Cyrl-CS"/>
        </w:rPr>
        <w:t>и</w:t>
      </w:r>
      <w:r w:rsidRPr="003B52C1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пропорције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дијагнозе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  <w:lang w:val="sv-SE"/>
        </w:rPr>
        <w:t>ест</w:t>
      </w:r>
      <w:r w:rsidRPr="0095267B">
        <w:rPr>
          <w:rFonts w:cs="Arial"/>
          <w:lang w:val="sv-SE"/>
        </w:rPr>
        <w:t xml:space="preserve"> 1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примеру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94%. </w:t>
      </w:r>
      <w:r>
        <w:rPr>
          <w:rFonts w:cs="Arial"/>
          <w:lang w:val="sv-SE"/>
        </w:rPr>
        <w:t>Сада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размотрите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  <w:lang w:val="sv-SE"/>
        </w:rPr>
        <w:t>ест</w:t>
      </w:r>
      <w:r w:rsidRPr="0095267B">
        <w:rPr>
          <w:rFonts w:cs="Arial"/>
          <w:lang w:val="sv-SE"/>
        </w:rPr>
        <w:t xml:space="preserve"> 2, </w:t>
      </w:r>
      <w:r>
        <w:rPr>
          <w:rFonts w:cs="Arial"/>
          <w:lang w:val="sv-SE"/>
        </w:rPr>
        <w:t>који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увек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негативан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резултат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Тест</w:t>
      </w:r>
      <w:r w:rsidRPr="0095267B">
        <w:rPr>
          <w:rFonts w:cs="Arial"/>
          <w:lang w:val="sv-SE"/>
        </w:rPr>
        <w:t xml:space="preserve"> 2 </w:t>
      </w:r>
      <w:r>
        <w:rPr>
          <w:rFonts w:cs="Arial"/>
          <w:lang w:val="sv-SE"/>
        </w:rPr>
        <w:t>никада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неће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пронаћи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било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случајеве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болести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Сада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праву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95% </w:t>
      </w:r>
      <w:r>
        <w:rPr>
          <w:rFonts w:cs="Arial"/>
          <w:lang w:val="sv-SE"/>
        </w:rPr>
        <w:t>испитаника</w:t>
      </w:r>
      <w:r w:rsidRPr="0095267B">
        <w:rPr>
          <w:rFonts w:cs="Arial"/>
          <w:lang w:val="sv-SE"/>
        </w:rPr>
        <w:t xml:space="preserve">! </w:t>
      </w:r>
      <w:r>
        <w:rPr>
          <w:rFonts w:cs="Arial"/>
          <w:lang w:val="sv-SE"/>
        </w:rPr>
        <w:t>Међутим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први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користан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томе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детектује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неке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случајеве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болести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други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није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v-SE"/>
        </w:rPr>
        <w:t>користан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тако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ово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јасно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лош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показатељ</w:t>
      </w:r>
      <w:r w:rsidRPr="0095267B">
        <w:rPr>
          <w:rFonts w:cs="Arial"/>
          <w:lang w:val="sv-SE"/>
        </w:rPr>
        <w:t>.</w:t>
      </w:r>
    </w:p>
    <w:p w:rsidR="003E3CC3" w:rsidRPr="0095267B" w:rsidRDefault="003E3CC3" w:rsidP="003E3CC3">
      <w:pPr>
        <w:spacing w:before="0"/>
        <w:ind w:firstLine="720"/>
        <w:rPr>
          <w:rFonts w:cs="Arial"/>
          <w:lang w:val="it-IT"/>
        </w:rPr>
      </w:pPr>
      <w:r>
        <w:rPr>
          <w:rFonts w:cs="Arial"/>
          <w:lang w:val="sv-SE"/>
        </w:rPr>
        <w:t>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постоји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један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једноставан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показатељ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који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нам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омогућава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упоредимо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различите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тестове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све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начине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желимо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што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постоје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две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ствари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треба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измеримо</w:t>
      </w:r>
      <w:r w:rsidRPr="0095267B">
        <w:rPr>
          <w:rFonts w:cs="Arial"/>
          <w:lang w:val="sv-SE"/>
        </w:rPr>
        <w:t xml:space="preserve">: </w:t>
      </w:r>
      <w:r>
        <w:rPr>
          <w:rFonts w:cs="Arial"/>
          <w:lang w:val="sv-SE"/>
        </w:rPr>
        <w:t>колико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добар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проналажењу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позитива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болести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односно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оних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који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оболели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колико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добар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искључивању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негатива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болести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односно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оних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који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болест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немају</w:t>
      </w:r>
      <w:r w:rsidRPr="0095267B">
        <w:rPr>
          <w:rFonts w:cs="Arial"/>
          <w:lang w:val="sv-SE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Показатељи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конвенционално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примењени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проверу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овог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>:</w:t>
      </w:r>
    </w:p>
    <w:p w:rsidR="003E3CC3" w:rsidRPr="000D1D7B" w:rsidRDefault="003E3CC3" w:rsidP="003E3CC3">
      <w:pPr>
        <w:ind w:left="567"/>
        <w:rPr>
          <w:rFonts w:cs="Arial"/>
          <w:u w:val="single"/>
          <w:lang w:val="sv-SE"/>
        </w:rPr>
      </w:pPr>
      <w:r w:rsidRPr="000D1D7B">
        <w:rPr>
          <w:rFonts w:cs="Arial"/>
          <w:lang w:val="sv-SE"/>
        </w:rPr>
        <w:t xml:space="preserve">                        </w:t>
      </w:r>
      <w:r>
        <w:rPr>
          <w:rFonts w:cs="Arial"/>
          <w:lang w:val="sr-Cyrl-CS"/>
        </w:rPr>
        <w:t xml:space="preserve">   </w:t>
      </w:r>
      <w:r w:rsidRPr="000D1D7B">
        <w:rPr>
          <w:rFonts w:cs="Arial"/>
          <w:lang w:val="sv-SE"/>
        </w:rPr>
        <w:t xml:space="preserve"> </w:t>
      </w:r>
      <w:r>
        <w:rPr>
          <w:rFonts w:cs="Arial"/>
          <w:u w:val="single"/>
          <w:lang w:val="sr-Cyrl-CS"/>
        </w:rPr>
        <w:t>б</w:t>
      </w:r>
      <w:r w:rsidRPr="00D8169A">
        <w:rPr>
          <w:rFonts w:cs="Arial"/>
          <w:u w:val="single"/>
          <w:lang w:val="sr-Cyrl-CS"/>
        </w:rPr>
        <w:t>рој</w:t>
      </w:r>
      <w:r w:rsidRPr="000D1D7B">
        <w:rPr>
          <w:rFonts w:cs="Arial"/>
          <w:u w:val="single"/>
          <w:lang w:val="sv-SE"/>
        </w:rPr>
        <w:t xml:space="preserve"> </w:t>
      </w:r>
      <w:r w:rsidRPr="00D8169A">
        <w:rPr>
          <w:rFonts w:cs="Arial"/>
          <w:u w:val="single"/>
          <w:lang w:val="sr-Cyrl-CS"/>
        </w:rPr>
        <w:t>оних</w:t>
      </w:r>
      <w:r w:rsidRPr="000D1D7B">
        <w:rPr>
          <w:rFonts w:cs="Arial"/>
          <w:u w:val="single"/>
          <w:lang w:val="sv-SE"/>
        </w:rPr>
        <w:t xml:space="preserve"> </w:t>
      </w:r>
      <w:r w:rsidRPr="00D8169A">
        <w:rPr>
          <w:rFonts w:cs="Arial"/>
          <w:u w:val="single"/>
          <w:lang w:val="sr-Cyrl-CS"/>
        </w:rPr>
        <w:t>који</w:t>
      </w:r>
      <w:r w:rsidRPr="000D1D7B">
        <w:rPr>
          <w:rFonts w:cs="Arial"/>
          <w:u w:val="single"/>
          <w:lang w:val="sv-SE"/>
        </w:rPr>
        <w:t xml:space="preserve"> </w:t>
      </w:r>
      <w:r w:rsidRPr="00D8169A">
        <w:rPr>
          <w:rFonts w:cs="Arial"/>
          <w:u w:val="single"/>
          <w:lang w:val="sr-Cyrl-CS"/>
        </w:rPr>
        <w:t>су</w:t>
      </w:r>
      <w:r w:rsidRPr="000D1D7B">
        <w:rPr>
          <w:rFonts w:cs="Arial"/>
          <w:u w:val="single"/>
          <w:lang w:val="sv-SE"/>
        </w:rPr>
        <w:t xml:space="preserve"> </w:t>
      </w:r>
      <w:r w:rsidRPr="00D8169A">
        <w:rPr>
          <w:rFonts w:cs="Arial"/>
          <w:u w:val="single"/>
          <w:lang w:val="sr-Cyrl-CS"/>
        </w:rPr>
        <w:t>и</w:t>
      </w:r>
      <w:r w:rsidRPr="000D1D7B">
        <w:rPr>
          <w:rFonts w:cs="Arial"/>
          <w:u w:val="single"/>
          <w:lang w:val="sv-SE"/>
        </w:rPr>
        <w:t xml:space="preserve"> </w:t>
      </w:r>
      <w:r w:rsidRPr="00D8169A">
        <w:rPr>
          <w:rFonts w:cs="Arial"/>
          <w:u w:val="single"/>
          <w:lang w:val="sr-Cyrl-CS"/>
        </w:rPr>
        <w:t>позитивни</w:t>
      </w:r>
      <w:r w:rsidRPr="000D1D7B">
        <w:rPr>
          <w:rFonts w:cs="Arial"/>
          <w:u w:val="single"/>
          <w:lang w:val="sv-SE"/>
        </w:rPr>
        <w:t xml:space="preserve"> </w:t>
      </w:r>
      <w:r w:rsidRPr="00D8169A">
        <w:rPr>
          <w:rFonts w:cs="Arial"/>
          <w:u w:val="single"/>
          <w:lang w:val="sr-Cyrl-CS"/>
        </w:rPr>
        <w:t>на</w:t>
      </w:r>
      <w:r w:rsidRPr="000D1D7B">
        <w:rPr>
          <w:rFonts w:cs="Arial"/>
          <w:u w:val="single"/>
          <w:lang w:val="sv-SE"/>
        </w:rPr>
        <w:t xml:space="preserve"> </w:t>
      </w:r>
      <w:r w:rsidRPr="00D8169A">
        <w:rPr>
          <w:rFonts w:cs="Arial"/>
          <w:u w:val="single"/>
          <w:lang w:val="sr-Cyrl-CS"/>
        </w:rPr>
        <w:t>болест</w:t>
      </w:r>
      <w:r w:rsidRPr="000D1D7B">
        <w:rPr>
          <w:rFonts w:cs="Arial"/>
          <w:u w:val="single"/>
          <w:lang w:val="sv-SE"/>
        </w:rPr>
        <w:t xml:space="preserve"> </w:t>
      </w:r>
      <w:r w:rsidRPr="00D8169A">
        <w:rPr>
          <w:rFonts w:cs="Arial"/>
          <w:u w:val="single"/>
          <w:lang w:val="sr-Cyrl-CS"/>
        </w:rPr>
        <w:t>и</w:t>
      </w:r>
      <w:r w:rsidRPr="000D1D7B">
        <w:rPr>
          <w:rFonts w:cs="Arial"/>
          <w:u w:val="single"/>
          <w:lang w:val="sv-SE"/>
        </w:rPr>
        <w:t xml:space="preserve"> </w:t>
      </w:r>
      <w:r w:rsidRPr="00D8169A">
        <w:rPr>
          <w:rFonts w:cs="Arial"/>
          <w:u w:val="single"/>
          <w:lang w:val="sr-Cyrl-CS"/>
        </w:rPr>
        <w:t>тест</w:t>
      </w:r>
      <w:r w:rsidRPr="000D1D7B">
        <w:rPr>
          <w:rFonts w:cs="Arial"/>
          <w:u w:val="single"/>
          <w:lang w:val="sv-SE"/>
        </w:rPr>
        <w:t xml:space="preserve"> </w:t>
      </w:r>
      <w:r w:rsidRPr="00D8169A">
        <w:rPr>
          <w:rFonts w:cs="Arial"/>
          <w:u w:val="single"/>
          <w:lang w:val="sr-Cyrl-CS"/>
        </w:rPr>
        <w:t>позитивни</w:t>
      </w:r>
    </w:p>
    <w:p w:rsidR="003E3CC3" w:rsidRPr="000D1D7B" w:rsidRDefault="003E3CC3" w:rsidP="003E3CC3">
      <w:pPr>
        <w:spacing w:before="0"/>
        <w:ind w:left="567"/>
        <w:rPr>
          <w:rFonts w:cs="Arial"/>
          <w:lang w:val="sv-SE"/>
        </w:rPr>
      </w:pPr>
      <w:r>
        <w:rPr>
          <w:rFonts w:cs="Arial"/>
          <w:lang w:val="sr-Cyrl-CS"/>
        </w:rPr>
        <w:t>сензитивност</w:t>
      </w:r>
      <w:r w:rsidRPr="000D1D7B">
        <w:rPr>
          <w:rFonts w:cs="Arial"/>
          <w:lang w:val="sv-SE"/>
        </w:rPr>
        <w:t xml:space="preserve"> =                </w:t>
      </w:r>
      <w:r>
        <w:rPr>
          <w:rFonts w:cs="Arial"/>
          <w:lang w:val="sr-Cyrl-CS"/>
        </w:rPr>
        <w:t>б</w:t>
      </w:r>
      <w:r>
        <w:rPr>
          <w:rFonts w:cs="Arial"/>
        </w:rPr>
        <w:t>рој</w:t>
      </w:r>
      <w:r w:rsidRPr="000D1D7B">
        <w:rPr>
          <w:rFonts w:cs="Arial"/>
          <w:lang w:val="sv-SE"/>
        </w:rPr>
        <w:t xml:space="preserve"> </w:t>
      </w:r>
      <w:r>
        <w:rPr>
          <w:rFonts w:cs="Arial"/>
        </w:rPr>
        <w:t>оних</w:t>
      </w:r>
      <w:r w:rsidRPr="000D1D7B">
        <w:rPr>
          <w:rFonts w:cs="Arial"/>
          <w:lang w:val="sv-SE"/>
        </w:rPr>
        <w:t xml:space="preserve"> </w:t>
      </w:r>
      <w:r>
        <w:rPr>
          <w:rFonts w:cs="Arial"/>
        </w:rPr>
        <w:t>који</w:t>
      </w:r>
      <w:r w:rsidRPr="000D1D7B">
        <w:rPr>
          <w:rFonts w:cs="Arial"/>
          <w:lang w:val="sv-SE"/>
        </w:rPr>
        <w:t xml:space="preserve"> </w:t>
      </w:r>
      <w:r>
        <w:rPr>
          <w:rFonts w:cs="Arial"/>
        </w:rPr>
        <w:t>су</w:t>
      </w:r>
      <w:r w:rsidRPr="000D1D7B">
        <w:rPr>
          <w:rFonts w:cs="Arial"/>
          <w:lang w:val="sv-SE"/>
        </w:rPr>
        <w:t xml:space="preserve"> </w:t>
      </w:r>
      <w:r>
        <w:rPr>
          <w:rFonts w:cs="Arial"/>
        </w:rPr>
        <w:t>позитивни</w:t>
      </w:r>
      <w:r w:rsidRPr="000D1D7B">
        <w:rPr>
          <w:rFonts w:cs="Arial"/>
          <w:lang w:val="sv-SE"/>
        </w:rPr>
        <w:t xml:space="preserve"> </w:t>
      </w:r>
      <w:r>
        <w:rPr>
          <w:rFonts w:cs="Arial"/>
        </w:rPr>
        <w:t>на</w:t>
      </w:r>
      <w:r w:rsidRPr="000D1D7B">
        <w:rPr>
          <w:rFonts w:cs="Arial"/>
          <w:lang w:val="sv-SE"/>
        </w:rPr>
        <w:t xml:space="preserve"> </w:t>
      </w:r>
      <w:r>
        <w:rPr>
          <w:rFonts w:cs="Arial"/>
        </w:rPr>
        <w:t>болест</w:t>
      </w:r>
    </w:p>
    <w:p w:rsidR="003E3CC3" w:rsidRPr="00F33B66" w:rsidRDefault="003E3CC3" w:rsidP="003E3CC3">
      <w:pPr>
        <w:spacing w:before="360"/>
        <w:ind w:left="567"/>
        <w:rPr>
          <w:rFonts w:cs="Arial"/>
          <w:u w:val="single"/>
          <w:lang w:val="it-IT"/>
        </w:rPr>
      </w:pPr>
      <w:r w:rsidRPr="000D1D7B">
        <w:rPr>
          <w:rFonts w:cs="Arial"/>
          <w:lang w:val="sv-SE"/>
        </w:rPr>
        <w:t xml:space="preserve">                              </w:t>
      </w:r>
      <w:r>
        <w:rPr>
          <w:rFonts w:cs="Arial"/>
          <w:u w:val="single"/>
          <w:lang w:val="sr-Cyrl-CS"/>
        </w:rPr>
        <w:t>б</w:t>
      </w:r>
      <w:r w:rsidRPr="00F33B66">
        <w:rPr>
          <w:rFonts w:cs="Arial"/>
          <w:u w:val="single"/>
          <w:lang w:val="it-IT"/>
        </w:rPr>
        <w:t>рој оних који су и негативни на болест и тест негативни</w:t>
      </w:r>
    </w:p>
    <w:p w:rsidR="003E3CC3" w:rsidRPr="0095267B" w:rsidRDefault="003E3CC3" w:rsidP="003E3CC3">
      <w:pPr>
        <w:spacing w:before="0"/>
        <w:ind w:left="567"/>
        <w:rPr>
          <w:rFonts w:cs="Arial"/>
          <w:lang w:val="it-IT"/>
        </w:rPr>
      </w:pPr>
      <w:r>
        <w:rPr>
          <w:rFonts w:cs="Arial"/>
          <w:lang w:val="sr-Cyrl-CS"/>
        </w:rPr>
        <w:t>с</w:t>
      </w:r>
      <w:r>
        <w:rPr>
          <w:rFonts w:cs="Arial"/>
          <w:lang w:val="it-IT"/>
        </w:rPr>
        <w:t>пецифичност</w:t>
      </w:r>
      <w:r w:rsidRPr="0095267B">
        <w:rPr>
          <w:rFonts w:cs="Arial"/>
          <w:lang w:val="it-IT"/>
        </w:rPr>
        <w:t xml:space="preserve"> =                  </w:t>
      </w:r>
      <w:r>
        <w:rPr>
          <w:rFonts w:cs="Arial"/>
          <w:lang w:val="sr-Cyrl-CS"/>
        </w:rPr>
        <w:t>б</w:t>
      </w:r>
      <w:r>
        <w:rPr>
          <w:rFonts w:cs="Arial"/>
          <w:lang w:val="it-IT"/>
        </w:rPr>
        <w:t>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</w:p>
    <w:p w:rsidR="003E3CC3" w:rsidRPr="009F6445" w:rsidRDefault="003E3CC3" w:rsidP="003E3CC3">
      <w:pPr>
        <w:spacing w:before="0" w:after="120"/>
        <w:ind w:firstLine="720"/>
        <w:rPr>
          <w:rFonts w:cs="Arial"/>
          <w:lang w:val="sr-Cyrl-CS"/>
        </w:rPr>
      </w:pPr>
    </w:p>
    <w:p w:rsidR="003E3CC3" w:rsidRPr="0095267B" w:rsidRDefault="003E3CC3" w:rsidP="003E3CC3">
      <w:pPr>
        <w:spacing w:before="0"/>
        <w:ind w:firstLine="567"/>
        <w:rPr>
          <w:rFonts w:cs="Arial"/>
          <w:lang w:val="it-IT"/>
        </w:rPr>
      </w:pPr>
      <w:r w:rsidRPr="00D8169A">
        <w:rPr>
          <w:rFonts w:cs="Arial"/>
          <w:lang w:val="sr-Cyrl-CS"/>
        </w:rPr>
        <w:t>Другим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речима</w:t>
      </w:r>
      <w:r w:rsidRPr="000D1D7B">
        <w:rPr>
          <w:rFonts w:cs="Arial"/>
          <w:lang w:val="it-IT"/>
        </w:rPr>
        <w:t xml:space="preserve">, </w:t>
      </w:r>
      <w:r w:rsidRPr="00D8169A">
        <w:rPr>
          <w:rFonts w:cs="Arial"/>
          <w:lang w:val="sr-Cyrl-CS"/>
        </w:rPr>
        <w:t>сензитивност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је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пропорција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позитивних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болесних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који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су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тест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позитивни</w:t>
      </w:r>
      <w:r w:rsidRPr="000D1D7B">
        <w:rPr>
          <w:rFonts w:cs="Arial"/>
          <w:lang w:val="it-IT"/>
        </w:rPr>
        <w:t xml:space="preserve">, </w:t>
      </w:r>
      <w:r w:rsidRPr="00D8169A">
        <w:rPr>
          <w:rFonts w:cs="Arial"/>
          <w:lang w:val="sr-Cyrl-CS"/>
        </w:rPr>
        <w:t>а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специфичност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је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пропорција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негативних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болесних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који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су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тест</w:t>
      </w:r>
      <w:r w:rsidRPr="000D1D7B">
        <w:rPr>
          <w:rFonts w:cs="Arial"/>
          <w:lang w:val="it-IT"/>
        </w:rPr>
        <w:t xml:space="preserve"> </w:t>
      </w:r>
      <w:r w:rsidRPr="00D8169A">
        <w:rPr>
          <w:rFonts w:cs="Arial"/>
          <w:lang w:val="sr-Cyrl-CS"/>
        </w:rPr>
        <w:t>негативни</w:t>
      </w:r>
      <w:r w:rsidRPr="000D1D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наша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>
        <w:rPr>
          <w:rFonts w:cs="Arial"/>
          <w:lang w:val="sr-Cyrl-CS"/>
        </w:rPr>
        <w:t>н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>:</w:t>
      </w:r>
    </w:p>
    <w:tbl>
      <w:tblPr>
        <w:tblW w:w="0" w:type="auto"/>
        <w:jc w:val="center"/>
        <w:tblCellSpacing w:w="0" w:type="dxa"/>
        <w:tblInd w:w="-76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94"/>
        <w:gridCol w:w="1669"/>
        <w:gridCol w:w="1671"/>
        <w:gridCol w:w="1447"/>
      </w:tblGrid>
      <w:tr w:rsidR="003E3CC3" w:rsidRPr="0095267B" w:rsidTr="003E3CC3">
        <w:trPr>
          <w:tblCellSpacing w:w="0" w:type="dxa"/>
          <w:jc w:val="center"/>
        </w:trPr>
        <w:tc>
          <w:tcPr>
            <w:tcW w:w="1794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95267B" w:rsidRDefault="003E3CC3" w:rsidP="003E3CC3">
            <w:pPr>
              <w:spacing w:before="0"/>
              <w:rPr>
                <w:rFonts w:cs="Arial"/>
                <w:color w:val="0A0905"/>
                <w:lang w:eastAsia="sr-Latn-CS"/>
              </w:rPr>
            </w:pPr>
            <w:r w:rsidRPr="0095267B">
              <w:rPr>
                <w:rFonts w:cs="Arial"/>
                <w:color w:val="0A0905"/>
                <w:lang w:eastAsia="sr-Latn-CS"/>
              </w:rPr>
              <w:lastRenderedPageBreak/>
              <w:t> </w:t>
            </w:r>
          </w:p>
        </w:tc>
        <w:tc>
          <w:tcPr>
            <w:tcW w:w="1669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95267B" w:rsidRDefault="003E3CC3" w:rsidP="003E3CC3">
            <w:pPr>
              <w:spacing w:before="0"/>
              <w:rPr>
                <w:rFonts w:cs="Arial"/>
                <w:color w:val="0A0905"/>
                <w:lang w:eastAsia="sr-Latn-CS"/>
              </w:rPr>
            </w:pPr>
            <w:r>
              <w:rPr>
                <w:rFonts w:cs="Arial"/>
                <w:color w:val="0A0905"/>
                <w:lang w:eastAsia="sr-Latn-CS"/>
              </w:rPr>
              <w:t>Тест</w:t>
            </w:r>
            <w:r w:rsidRPr="0095267B">
              <w:rPr>
                <w:rFonts w:cs="Arial"/>
                <w:color w:val="0A0905"/>
                <w:lang w:eastAsia="sr-Latn-CS"/>
              </w:rPr>
              <w:t xml:space="preserve"> 1</w:t>
            </w:r>
          </w:p>
        </w:tc>
        <w:tc>
          <w:tcPr>
            <w:tcW w:w="1671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95267B" w:rsidRDefault="003E3CC3" w:rsidP="003E3CC3">
            <w:pPr>
              <w:spacing w:before="0"/>
              <w:rPr>
                <w:rFonts w:cs="Arial"/>
                <w:color w:val="0A0905"/>
                <w:lang w:eastAsia="sr-Latn-CS"/>
              </w:rPr>
            </w:pPr>
            <w:r>
              <w:rPr>
                <w:rFonts w:cs="Arial"/>
                <w:color w:val="0A0905"/>
                <w:lang w:eastAsia="sr-Latn-CS"/>
              </w:rPr>
              <w:t>Тест</w:t>
            </w:r>
            <w:r w:rsidRPr="0095267B">
              <w:rPr>
                <w:rFonts w:cs="Arial"/>
                <w:color w:val="0A0905"/>
                <w:lang w:eastAsia="sr-Latn-CS"/>
              </w:rPr>
              <w:t xml:space="preserve"> 2</w:t>
            </w:r>
          </w:p>
        </w:tc>
        <w:tc>
          <w:tcPr>
            <w:tcW w:w="1447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95267B" w:rsidRDefault="003E3CC3" w:rsidP="003E3CC3">
            <w:pPr>
              <w:spacing w:before="0"/>
              <w:rPr>
                <w:rFonts w:cs="Arial"/>
                <w:color w:val="0A0905"/>
                <w:lang w:eastAsia="sr-Latn-CS"/>
              </w:rPr>
            </w:pPr>
            <w:r>
              <w:rPr>
                <w:rFonts w:cs="Arial"/>
                <w:color w:val="0A0905"/>
                <w:lang w:eastAsia="sr-Latn-CS"/>
              </w:rPr>
              <w:t>Тест</w:t>
            </w:r>
            <w:r w:rsidRPr="0095267B">
              <w:rPr>
                <w:rFonts w:cs="Arial"/>
                <w:color w:val="0A0905"/>
                <w:lang w:eastAsia="sr-Latn-CS"/>
              </w:rPr>
              <w:t xml:space="preserve"> 3</w:t>
            </w:r>
          </w:p>
        </w:tc>
      </w:tr>
      <w:tr w:rsidR="003E3CC3" w:rsidRPr="0095267B" w:rsidTr="003E3CC3">
        <w:trPr>
          <w:tblCellSpacing w:w="0" w:type="dxa"/>
          <w:jc w:val="center"/>
        </w:trPr>
        <w:tc>
          <w:tcPr>
            <w:tcW w:w="1794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4F5108" w:rsidRDefault="003E3CC3" w:rsidP="003E3CC3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>
              <w:rPr>
                <w:rFonts w:cs="Arial"/>
                <w:lang w:val="sr-Cyrl-CS"/>
              </w:rPr>
              <w:t>Сензитивност</w:t>
            </w:r>
          </w:p>
        </w:tc>
        <w:tc>
          <w:tcPr>
            <w:tcW w:w="1669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CA18AD" w:rsidRDefault="003E3CC3" w:rsidP="003E3CC3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95267B">
              <w:rPr>
                <w:rFonts w:cs="Arial"/>
                <w:color w:val="0A0905"/>
                <w:lang w:eastAsia="sr-Latn-CS"/>
              </w:rPr>
              <w:t>0.80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(=4/5)</w:t>
            </w:r>
          </w:p>
        </w:tc>
        <w:tc>
          <w:tcPr>
            <w:tcW w:w="1671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CA18AD" w:rsidRDefault="003E3CC3" w:rsidP="003E3CC3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95267B">
              <w:rPr>
                <w:rFonts w:cs="Arial"/>
                <w:color w:val="0A0905"/>
                <w:lang w:eastAsia="sr-Latn-CS"/>
              </w:rPr>
              <w:t>0.00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(=0/5)</w:t>
            </w:r>
          </w:p>
        </w:tc>
        <w:tc>
          <w:tcPr>
            <w:tcW w:w="1447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CA18AD" w:rsidRDefault="003E3CC3" w:rsidP="003E3CC3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95267B">
              <w:rPr>
                <w:rFonts w:cs="Arial"/>
                <w:color w:val="0A0905"/>
                <w:lang w:eastAsia="sr-Latn-CS"/>
              </w:rPr>
              <w:t>0.40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(=2/5)</w:t>
            </w:r>
          </w:p>
        </w:tc>
      </w:tr>
      <w:tr w:rsidR="003E3CC3" w:rsidRPr="0095267B" w:rsidTr="003E3CC3">
        <w:trPr>
          <w:tblCellSpacing w:w="0" w:type="dxa"/>
          <w:jc w:val="center"/>
        </w:trPr>
        <w:tc>
          <w:tcPr>
            <w:tcW w:w="1794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95267B" w:rsidRDefault="003E3CC3" w:rsidP="003E3CC3">
            <w:pPr>
              <w:spacing w:before="0"/>
              <w:rPr>
                <w:rFonts w:cs="Arial"/>
                <w:color w:val="0A0905"/>
                <w:lang w:eastAsia="sr-Latn-CS"/>
              </w:rPr>
            </w:pPr>
            <w:r>
              <w:rPr>
                <w:rFonts w:cs="Arial"/>
                <w:lang w:val="sr-Cyrl-CS"/>
              </w:rPr>
              <w:t>С</w:t>
            </w:r>
            <w:r>
              <w:rPr>
                <w:rFonts w:cs="Arial"/>
                <w:lang w:val="it-IT"/>
              </w:rPr>
              <w:t>пецифичност</w:t>
            </w:r>
          </w:p>
        </w:tc>
        <w:tc>
          <w:tcPr>
            <w:tcW w:w="1669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CA18AD" w:rsidRDefault="003E3CC3" w:rsidP="003E3CC3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95267B">
              <w:rPr>
                <w:rFonts w:cs="Arial"/>
                <w:color w:val="0A0905"/>
                <w:lang w:eastAsia="sr-Latn-CS"/>
              </w:rPr>
              <w:t>0.95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(=90/95)</w:t>
            </w:r>
          </w:p>
        </w:tc>
        <w:tc>
          <w:tcPr>
            <w:tcW w:w="1671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CA18AD" w:rsidRDefault="003E3CC3" w:rsidP="003E3CC3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95267B">
              <w:rPr>
                <w:rFonts w:cs="Arial"/>
                <w:color w:val="0A0905"/>
                <w:lang w:eastAsia="sr-Latn-CS"/>
              </w:rPr>
              <w:t>1.00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(=95/95)</w:t>
            </w:r>
          </w:p>
        </w:tc>
        <w:tc>
          <w:tcPr>
            <w:tcW w:w="1447" w:type="dxa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95267B" w:rsidRDefault="003E3CC3" w:rsidP="003E3CC3">
            <w:pPr>
              <w:spacing w:before="0"/>
              <w:rPr>
                <w:rFonts w:cs="Arial"/>
                <w:color w:val="0A0905"/>
                <w:lang w:eastAsia="sr-Latn-CS"/>
              </w:rPr>
            </w:pPr>
            <w:r w:rsidRPr="0095267B">
              <w:rPr>
                <w:rFonts w:cs="Arial"/>
                <w:color w:val="0A0905"/>
                <w:lang w:eastAsia="sr-Latn-CS"/>
              </w:rPr>
              <w:t>1.00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 (=95/95)</w:t>
            </w:r>
          </w:p>
        </w:tc>
      </w:tr>
    </w:tbl>
    <w:p w:rsidR="003E3CC3" w:rsidRPr="0095267B" w:rsidRDefault="003E3CC3" w:rsidP="003E3CC3">
      <w:pPr>
        <w:spacing w:before="0"/>
        <w:rPr>
          <w:rFonts w:cs="Arial"/>
          <w:lang w:val="it-IT"/>
        </w:rPr>
      </w:pPr>
    </w:p>
    <w:p w:rsidR="003E3CC3" w:rsidRPr="0095267B" w:rsidRDefault="003E3CC3" w:rsidP="003E3CC3">
      <w:pPr>
        <w:spacing w:before="0"/>
        <w:ind w:firstLine="720"/>
        <w:rPr>
          <w:rFonts w:cs="Arial"/>
          <w:lang w:val="it-IT"/>
        </w:rPr>
      </w:pPr>
      <w:r>
        <w:rPr>
          <w:rFonts w:cs="Arial"/>
          <w:lang w:val="sr-Cyrl-CS"/>
        </w:rPr>
        <w:t>Н</w:t>
      </w:r>
      <w:r>
        <w:rPr>
          <w:rFonts w:cs="Arial"/>
          <w:lang w:val="it-IT"/>
        </w:rPr>
        <w:t>аравно</w:t>
      </w:r>
      <w:r>
        <w:rPr>
          <w:rFonts w:cs="Arial"/>
          <w:lang w:val="sr-Cyrl-CS"/>
        </w:rPr>
        <w:t xml:space="preserve"> т</w:t>
      </w:r>
      <w:r>
        <w:rPr>
          <w:rFonts w:cs="Arial"/>
          <w:lang w:val="it-IT"/>
        </w:rPr>
        <w:t>есту</w:t>
      </w:r>
      <w:r w:rsidRPr="0095267B">
        <w:rPr>
          <w:rFonts w:cs="Arial"/>
          <w:lang w:val="it-IT"/>
        </w:rPr>
        <w:t xml:space="preserve"> 2, </w:t>
      </w:r>
      <w:r>
        <w:rPr>
          <w:rFonts w:cs="Arial"/>
          <w:lang w:val="it-IT"/>
        </w:rPr>
        <w:t>недостају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проналази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дајући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ест</w:t>
      </w:r>
      <w:r>
        <w:rPr>
          <w:rFonts w:cs="Arial"/>
          <w:lang w:val="sr-Cyrl-CS"/>
        </w:rPr>
        <w:t>ова</w:t>
      </w:r>
      <w:r w:rsidRPr="0095267B">
        <w:rPr>
          <w:rFonts w:cs="Arial"/>
          <w:lang w:val="it-IT"/>
        </w:rPr>
        <w:t xml:space="preserve"> 1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3 </w:t>
      </w:r>
      <w:r>
        <w:rPr>
          <w:rFonts w:cs="Arial"/>
          <w:lang w:val="sr-Cyrl-CS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изведен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помоћу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сензитивности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теста </w:t>
      </w:r>
      <w:r w:rsidRPr="0095267B">
        <w:rPr>
          <w:rFonts w:cs="Arial"/>
          <w:lang w:val="it-IT"/>
        </w:rPr>
        <w:t xml:space="preserve">1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теста </w:t>
      </w:r>
      <w:r w:rsidRPr="0095267B">
        <w:rPr>
          <w:rFonts w:cs="Arial"/>
          <w:lang w:val="it-IT"/>
        </w:rPr>
        <w:t xml:space="preserve">3. </w:t>
      </w:r>
      <w:r>
        <w:rPr>
          <w:rFonts w:cs="Arial"/>
          <w:lang w:val="it-IT"/>
        </w:rPr>
        <w:t>Поредимо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димензије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видети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3 </w:t>
      </w:r>
      <w:r>
        <w:rPr>
          <w:rFonts w:cs="Arial"/>
          <w:lang w:val="it-IT"/>
        </w:rPr>
        <w:t>бољи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 2, </w:t>
      </w:r>
      <w:r>
        <w:rPr>
          <w:rFonts w:cs="Arial"/>
          <w:lang w:val="it-IT"/>
        </w:rPr>
        <w:t>јер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његова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сензитивност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већа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Међутим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теже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видети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3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бољи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 1. </w:t>
      </w:r>
      <w:r>
        <w:rPr>
          <w:rFonts w:cs="Arial"/>
          <w:lang w:val="it-IT"/>
        </w:rPr>
        <w:t>Морамо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донети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закључак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заснован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релативном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сензитивности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одређеном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случају</w:t>
      </w:r>
      <w:r w:rsidRPr="0095267B">
        <w:rPr>
          <w:rFonts w:cs="Arial"/>
          <w:lang w:val="it-IT"/>
        </w:rPr>
        <w:t>.</w:t>
      </w:r>
    </w:p>
    <w:p w:rsidR="003E3CC3" w:rsidRPr="0095267B" w:rsidRDefault="003E3CC3" w:rsidP="003E3CC3">
      <w:pPr>
        <w:spacing w:before="0"/>
        <w:ind w:firstLine="720"/>
        <w:rPr>
          <w:rFonts w:cs="Arial"/>
          <w:lang w:val="it-IT"/>
        </w:rPr>
      </w:pPr>
      <w:r>
        <w:rPr>
          <w:rFonts w:cs="Arial"/>
          <w:lang w:val="it-IT"/>
        </w:rPr>
        <w:t>Сензитивност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често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помножен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100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проценте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бе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 </w:t>
      </w:r>
      <w:r>
        <w:rPr>
          <w:rFonts w:cs="Arial"/>
          <w:lang w:val="sr-Cyrl-CS"/>
        </w:rPr>
        <w:t>биномне (</w:t>
      </w:r>
      <w:r w:rsidRPr="00F25B62">
        <w:rPr>
          <w:rFonts w:cs="Arial"/>
          <w:i/>
          <w:color w:val="0A0905"/>
          <w:lang w:val="sr-Latn-CS" w:eastAsia="sr-Latn-CS"/>
        </w:rPr>
        <w:t>binomial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пропорције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њихове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стандардне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грешке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интервали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поверења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налазе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описано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деловима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4</w:t>
      </w:r>
      <w:r w:rsidRPr="0095267B">
        <w:rPr>
          <w:rFonts w:cs="Arial"/>
          <w:lang w:val="it-IT"/>
        </w:rPr>
        <w:t xml:space="preserve">.4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4</w:t>
      </w:r>
      <w:r w:rsidRPr="0095267B">
        <w:rPr>
          <w:rFonts w:cs="Arial"/>
          <w:lang w:val="it-IT"/>
        </w:rPr>
        <w:t xml:space="preserve">.8. </w:t>
      </w:r>
      <w:r>
        <w:rPr>
          <w:rFonts w:cs="Arial"/>
          <w:lang w:val="it-IT"/>
        </w:rPr>
        <w:t>Зато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пропорције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често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близу</w:t>
      </w:r>
      <w:r w:rsidRPr="0095267B">
        <w:rPr>
          <w:rFonts w:cs="Arial"/>
          <w:lang w:val="it-IT"/>
        </w:rPr>
        <w:t xml:space="preserve"> 1.0, </w:t>
      </w:r>
      <w:r>
        <w:rPr>
          <w:rFonts w:cs="Arial"/>
          <w:lang w:val="it-IT"/>
        </w:rPr>
        <w:t>приступ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узорка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sr-Cyrl-CS"/>
        </w:rPr>
        <w:t>део 5</w:t>
      </w:r>
      <w:r w:rsidRPr="0095267B">
        <w:rPr>
          <w:rFonts w:cs="Arial"/>
          <w:lang w:val="it-IT"/>
        </w:rPr>
        <w:t xml:space="preserve">.4)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валидан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Тачан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метод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коришћењем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Биномне </w:t>
      </w:r>
      <w:r>
        <w:rPr>
          <w:rFonts w:cs="Arial"/>
          <w:lang w:val="it-IT"/>
        </w:rPr>
        <w:t>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пожељнији</w:t>
      </w:r>
      <w:r w:rsidRPr="0095267B">
        <w:rPr>
          <w:rFonts w:cs="Arial"/>
          <w:lang w:val="it-IT"/>
        </w:rPr>
        <w:t xml:space="preserve">. </w:t>
      </w:r>
      <w:r w:rsidRPr="000C6780">
        <w:rPr>
          <w:rFonts w:cs="Arial"/>
          <w:color w:val="0A0905"/>
          <w:lang w:val="sr-Latn-CS" w:eastAsia="sr-Latn-CS"/>
        </w:rPr>
        <w:t xml:space="preserve">Harper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Reeves </w:t>
      </w:r>
      <w:r w:rsidRPr="0095267B">
        <w:rPr>
          <w:rFonts w:cs="Arial"/>
          <w:lang w:val="it-IT"/>
        </w:rPr>
        <w:t xml:space="preserve">(1999) </w:t>
      </w:r>
      <w:r>
        <w:rPr>
          <w:rFonts w:cs="Arial"/>
          <w:lang w:val="it-IT"/>
        </w:rPr>
        <w:t>указују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интервали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поверења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готово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увек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изостављени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студијама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дијагностичких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пријављених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изван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главних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општих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медицинских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часописа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препоручују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се 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увек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читалац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очекивати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слажем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њима</w:t>
      </w:r>
      <w:r w:rsidRPr="0095267B">
        <w:rPr>
          <w:rFonts w:cs="Arial"/>
          <w:lang w:val="it-IT"/>
        </w:rPr>
        <w:t xml:space="preserve">! </w:t>
      </w:r>
      <w:r>
        <w:rPr>
          <w:rFonts w:cs="Arial"/>
          <w:lang w:val="it-IT"/>
        </w:rPr>
        <w:t>Величина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потребна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поуздан</w:t>
      </w:r>
      <w:r>
        <w:rPr>
          <w:rFonts w:cs="Arial"/>
          <w:lang w:val="sr-Cyrl-CS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предвиђање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it-IT"/>
        </w:rPr>
        <w:t>сензитивности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израчунати</w:t>
      </w:r>
      <w:r w:rsidRPr="0095267B">
        <w:rPr>
          <w:rFonts w:cs="Arial"/>
          <w:lang w:val="it-IT"/>
        </w:rPr>
        <w:t>.</w:t>
      </w:r>
    </w:p>
    <w:p w:rsidR="003E3CC3" w:rsidRPr="00791480" w:rsidRDefault="003E3CC3" w:rsidP="003E3CC3">
      <w:pPr>
        <w:spacing w:before="0" w:after="12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Понекад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заснива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непрекидној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променљивој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11.2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креатинкиназе</w:t>
      </w:r>
      <w:r w:rsidRPr="0095267B">
        <w:rPr>
          <w:rFonts w:cs="Arial"/>
          <w:lang w:val="it-IT"/>
        </w:rPr>
        <w:t xml:space="preserve"> (</w:t>
      </w:r>
      <w:r w:rsidRPr="000C6780">
        <w:rPr>
          <w:rFonts w:cs="Arial"/>
          <w:color w:val="0A0905"/>
          <w:lang w:val="sr-Latn-CS" w:eastAsia="sr-Latn-CS"/>
        </w:rPr>
        <w:t xml:space="preserve">creatinekinase </w:t>
      </w:r>
      <w:r>
        <w:rPr>
          <w:rFonts w:cs="Arial"/>
          <w:color w:val="0A0905"/>
          <w:lang w:val="sr-Cyrl-CS" w:eastAsia="sr-Latn-CS"/>
        </w:rPr>
        <w:t xml:space="preserve">- </w:t>
      </w:r>
      <w:r w:rsidRPr="000C6780">
        <w:rPr>
          <w:rFonts w:cs="Arial"/>
          <w:color w:val="0A0905"/>
          <w:lang w:val="sr-Latn-CS" w:eastAsia="sr-Latn-CS"/>
        </w:rPr>
        <w:t>C</w:t>
      </w:r>
      <w:r>
        <w:rPr>
          <w:rFonts w:cs="Arial"/>
          <w:color w:val="0A0905"/>
          <w:lang w:val="sr-Latn-CS" w:eastAsia="sr-Latn-CS"/>
        </w:rPr>
        <w:t>К</w:t>
      </w:r>
      <w:r w:rsidRPr="0095267B">
        <w:rPr>
          <w:rFonts w:cs="Arial"/>
          <w:lang w:val="it-IT"/>
        </w:rPr>
        <w:t xml:space="preserve">) </w:t>
      </w:r>
      <w:r>
        <w:rPr>
          <w:rFonts w:cs="Arial"/>
          <w:lang w:val="it-IT"/>
        </w:rPr>
        <w:t>код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болесника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нестабилном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ангином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акутним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инфарктом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миокарда</w:t>
      </w:r>
      <w:r>
        <w:rPr>
          <w:rFonts w:cs="Arial"/>
          <w:lang w:val="sr-Cyrl-CS"/>
        </w:rPr>
        <w:t xml:space="preserve"> (</w:t>
      </w:r>
      <w:r>
        <w:rPr>
          <w:rFonts w:cs="Arial"/>
          <w:color w:val="0A0905"/>
          <w:lang w:val="sr-Latn-CS" w:eastAsia="sr-Latn-CS"/>
        </w:rPr>
        <w:t>АМ</w:t>
      </w:r>
      <w:r w:rsidRPr="000C6780">
        <w:rPr>
          <w:rFonts w:cs="Arial"/>
          <w:color w:val="0A0905"/>
          <w:lang w:val="sr-Latn-CS" w:eastAsia="sr-Latn-CS"/>
        </w:rPr>
        <w:t>I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11.</w:t>
      </w:r>
      <w:r>
        <w:rPr>
          <w:rFonts w:cs="Arial"/>
          <w:lang w:val="sr-Cyrl-CS"/>
        </w:rPr>
        <w:t>1</w:t>
      </w:r>
      <w:r w:rsidRPr="0095267B">
        <w:rPr>
          <w:rFonts w:cs="Arial"/>
          <w:lang w:val="it-IT"/>
        </w:rPr>
        <w:t>(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)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дијаграм растурања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Желимо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откријемо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акутним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инфарктом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миокарда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пацијентима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потенцијални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болесницима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са </w:t>
      </w:r>
      <w:r>
        <w:rPr>
          <w:rFonts w:cs="Arial"/>
          <w:lang w:val="it-IT"/>
        </w:rPr>
        <w:t>акутним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инфарктом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миокарда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високе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Како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граничну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тачку</w:t>
      </w:r>
      <w:r w:rsidRPr="0095267B">
        <w:rPr>
          <w:rFonts w:cs="Arial"/>
          <w:lang w:val="it-IT"/>
        </w:rPr>
        <w:t xml:space="preserve">? </w:t>
      </w:r>
      <w:r>
        <w:rPr>
          <w:rFonts w:cs="Arial"/>
          <w:lang w:val="it-IT"/>
        </w:rPr>
        <w:t>Најниж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креатинкиназ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color w:val="0A0905"/>
          <w:lang w:val="sr-Latn-CS" w:eastAsia="sr-Latn-CS"/>
        </w:rPr>
        <w:t>C</w:t>
      </w:r>
      <w:r>
        <w:rPr>
          <w:rFonts w:cs="Arial"/>
          <w:color w:val="0A0905"/>
          <w:lang w:val="sr-Latn-CS" w:eastAsia="sr-Latn-CS"/>
        </w:rPr>
        <w:t>К</w:t>
      </w:r>
      <w:r>
        <w:rPr>
          <w:rFonts w:cs="Arial"/>
          <w:color w:val="0A0905"/>
          <w:lang w:val="sr-Cyrl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код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пацијената</w:t>
      </w:r>
      <w:r w:rsidRPr="00D90613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са </w:t>
      </w:r>
      <w:r>
        <w:rPr>
          <w:rFonts w:cs="Arial"/>
          <w:lang w:val="it-IT"/>
        </w:rPr>
        <w:t>акутним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инфарктом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миокарда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90,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граничник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детектовати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пацијенте</w:t>
      </w:r>
      <w:r>
        <w:rPr>
          <w:rFonts w:cs="Arial"/>
          <w:lang w:val="sr-Cyrl-CS"/>
        </w:rPr>
        <w:t xml:space="preserve"> са </w:t>
      </w:r>
      <w:r>
        <w:rPr>
          <w:rFonts w:cs="Arial"/>
          <w:lang w:val="it-IT"/>
        </w:rPr>
        <w:t>акутним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инфарктом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миокарда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Коришћењем</w:t>
      </w:r>
      <w:r w:rsidRPr="0095267B">
        <w:rPr>
          <w:rFonts w:cs="Arial"/>
          <w:lang w:val="it-IT"/>
        </w:rPr>
        <w:t xml:space="preserve"> 80,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пронашли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пацијенте</w:t>
      </w:r>
      <w:r>
        <w:rPr>
          <w:rFonts w:cs="Arial"/>
          <w:lang w:val="sr-Cyrl-CS"/>
        </w:rPr>
        <w:t xml:space="preserve"> са </w:t>
      </w:r>
      <w:r>
        <w:rPr>
          <w:rFonts w:cs="Arial"/>
          <w:lang w:val="it-IT"/>
        </w:rPr>
        <w:t>акутним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инфарктом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миокарда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сензитивност</w:t>
      </w:r>
      <w:r w:rsidRPr="0095267B">
        <w:rPr>
          <w:rFonts w:cs="Arial"/>
          <w:lang w:val="it-IT"/>
        </w:rPr>
        <w:t xml:space="preserve"> = 1.00, </w:t>
      </w:r>
      <w:r>
        <w:rPr>
          <w:rFonts w:cs="Arial"/>
          <w:lang w:val="it-IT"/>
        </w:rPr>
        <w:t>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42%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ангином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испод</w:t>
      </w:r>
      <w:r w:rsidRPr="0095267B">
        <w:rPr>
          <w:rFonts w:cs="Arial"/>
          <w:lang w:val="it-IT"/>
        </w:rPr>
        <w:t xml:space="preserve"> 80,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сензитивност</w:t>
      </w:r>
      <w:r w:rsidRPr="0095267B">
        <w:rPr>
          <w:rFonts w:cs="Arial"/>
          <w:lang w:val="it-IT"/>
        </w:rPr>
        <w:t xml:space="preserve"> = 0.42.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сензитивност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граничне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тачке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Подизање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граничне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откривено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смањена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сензитивност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Међутим</w:t>
      </w:r>
      <w:r w:rsidRPr="0095267B">
        <w:rPr>
          <w:rFonts w:cs="Arial"/>
          <w:lang w:val="it-IT"/>
        </w:rPr>
        <w:t xml:space="preserve">,  </w:t>
      </w:r>
      <w:r>
        <w:rPr>
          <w:rFonts w:cs="Arial"/>
          <w:lang w:val="it-IT"/>
        </w:rPr>
        <w:t>биће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лажних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позитивних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позитивних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ствари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повећана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C</w:t>
      </w:r>
      <w:r>
        <w:rPr>
          <w:rFonts w:cs="Arial"/>
          <w:color w:val="0A0905"/>
          <w:lang w:val="sr-Latn-CS" w:eastAsia="sr-Latn-CS"/>
        </w:rPr>
        <w:t>К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/>
        </w:rPr>
        <w:t xml:space="preserve">≥ 100 </w:t>
      </w:r>
      <w:r>
        <w:rPr>
          <w:rFonts w:cs="Arial"/>
          <w:lang w:val="it-IT"/>
        </w:rPr>
        <w:t>критеријум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акутни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инфаркт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миокарда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сензитивност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0.96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</w:t>
      </w:r>
      <w:r w:rsidRPr="0095267B">
        <w:rPr>
          <w:rFonts w:cs="Arial"/>
          <w:lang w:val="it-IT"/>
        </w:rPr>
        <w:t xml:space="preserve"> 0.62.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размена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сензитивности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помоћи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дијаграм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сензитивност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наспрам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испита</w:t>
      </w:r>
      <w:r>
        <w:rPr>
          <w:rFonts w:cs="Arial"/>
          <w:lang w:val="sr-Cyrl-CS"/>
        </w:rPr>
        <w:t>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размена</w:t>
      </w:r>
      <w:r w:rsidRPr="0095267B">
        <w:rPr>
          <w:rFonts w:cs="Arial"/>
          <w:lang w:val="it-IT"/>
        </w:rPr>
        <w:t xml:space="preserve">. </w:t>
      </w:r>
      <w:r w:rsidRPr="0095267B">
        <w:rPr>
          <w:rFonts w:cs="Arial"/>
          <w:lang w:val="sv-SE"/>
        </w:rPr>
        <w:t>O</w:t>
      </w:r>
      <w:r>
        <w:rPr>
          <w:rFonts w:cs="Arial"/>
          <w:lang w:val="sv-SE"/>
        </w:rPr>
        <w:t>во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зове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b/>
          <w:lang w:val="sv-SE"/>
        </w:rPr>
        <w:t>оперативна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b/>
          <w:lang w:val="sv-SE"/>
        </w:rPr>
        <w:t>карактеристика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b/>
          <w:lang w:val="sv-SE"/>
        </w:rPr>
        <w:t>пријемника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receiver operating characteristic</w:t>
      </w:r>
      <w:r>
        <w:rPr>
          <w:rFonts w:cs="Arial"/>
          <w:lang w:val="sr-Cyrl-CS"/>
        </w:rPr>
        <w:t xml:space="preserve">) </w:t>
      </w:r>
      <w:r>
        <w:rPr>
          <w:rFonts w:cs="Arial"/>
          <w:lang w:val="sv-SE"/>
        </w:rPr>
        <w:t>или</w:t>
      </w:r>
      <w:r w:rsidRPr="0095267B">
        <w:rPr>
          <w:rFonts w:cs="Arial"/>
          <w:lang w:val="sv-SE"/>
        </w:rPr>
        <w:t xml:space="preserve"> </w:t>
      </w:r>
      <w:r w:rsidRPr="000C6780">
        <w:rPr>
          <w:rFonts w:cs="Arial"/>
          <w:b/>
          <w:bCs/>
          <w:color w:val="0A0905"/>
          <w:lang w:val="sr-Latn-CS" w:eastAsia="sr-Latn-CS"/>
        </w:rPr>
        <w:t>ROC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v-SE"/>
        </w:rPr>
        <w:t>крива</w:t>
      </w:r>
      <w:r w:rsidRPr="0095267B">
        <w:rPr>
          <w:rFonts w:cs="Arial"/>
          <w:lang w:val="sv-SE"/>
        </w:rPr>
        <w:t xml:space="preserve"> (</w:t>
      </w:r>
      <w:r>
        <w:rPr>
          <w:rFonts w:cs="Arial"/>
          <w:lang w:val="sr-Cyrl-CS"/>
        </w:rPr>
        <w:t>н</w:t>
      </w:r>
      <w:r>
        <w:rPr>
          <w:rFonts w:cs="Arial"/>
          <w:lang w:val="sv-SE"/>
        </w:rPr>
        <w:t>азив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потиче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из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телекомуникација</w:t>
      </w:r>
      <w:r w:rsidRPr="0095267B">
        <w:rPr>
          <w:rFonts w:cs="Arial"/>
          <w:lang w:val="sv-SE"/>
        </w:rPr>
        <w:t>)</w:t>
      </w:r>
      <w:r>
        <w:rPr>
          <w:rFonts w:cs="Arial"/>
          <w:lang w:val="sr-Cyrl-CS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7541"/>
      </w:tblGrid>
      <w:tr w:rsidR="003E3CC3" w:rsidRPr="000C6780" w:rsidTr="003E3CC3">
        <w:trPr>
          <w:tblCellSpacing w:w="0" w:type="dxa"/>
          <w:jc w:val="center"/>
        </w:trPr>
        <w:tc>
          <w:tcPr>
            <w:tcW w:w="7541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0439C2" w:rsidRDefault="003E3CC3" w:rsidP="003E3CC3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0439C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11.2</w:t>
            </w:r>
            <w:r w:rsidRPr="000439C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Креатинкиназа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код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болесника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нестабилном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ангином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акутним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инфарктом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миокарда</w:t>
            </w:r>
            <w:r w:rsidRPr="000439C2">
              <w:rPr>
                <w:rFonts w:cs="Arial"/>
                <w:bCs/>
                <w:color w:val="0A0905"/>
                <w:lang w:val="sr-Latn-CS" w:eastAsia="sr-Latn-CS"/>
              </w:rPr>
              <w:t xml:space="preserve"> (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АМ</w:t>
            </w:r>
            <w:r w:rsidRPr="000439C2">
              <w:rPr>
                <w:rFonts w:cs="Arial"/>
                <w:bCs/>
                <w:color w:val="0A0905"/>
                <w:lang w:val="sr-Latn-CS" w:eastAsia="sr-Latn-CS"/>
              </w:rPr>
              <w:t>I) (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подаци од </w:t>
            </w:r>
            <w:r w:rsidRPr="000439C2">
              <w:rPr>
                <w:rFonts w:cs="Arial"/>
                <w:bCs/>
                <w:color w:val="0A0905"/>
                <w:lang w:val="sr-Latn-CS" w:eastAsia="sr-Latn-CS"/>
              </w:rPr>
              <w:t>Frances Boa)</w:t>
            </w:r>
          </w:p>
        </w:tc>
      </w:tr>
      <w:tr w:rsidR="003E3CC3" w:rsidRPr="000C6780" w:rsidTr="003E3CC3">
        <w:trPr>
          <w:trHeight w:val="1362"/>
          <w:tblCellSpacing w:w="0" w:type="dxa"/>
          <w:jc w:val="center"/>
        </w:trPr>
        <w:tc>
          <w:tcPr>
            <w:tcW w:w="7541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6955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9"/>
              <w:gridCol w:w="619"/>
              <w:gridCol w:w="619"/>
              <w:gridCol w:w="730"/>
              <w:gridCol w:w="730"/>
              <w:gridCol w:w="730"/>
              <w:gridCol w:w="1037"/>
              <w:gridCol w:w="730"/>
              <w:gridCol w:w="1141"/>
            </w:tblGrid>
            <w:tr w:rsidR="003E3CC3" w:rsidRPr="000439C2" w:rsidTr="003E3CC3">
              <w:trPr>
                <w:tblCellSpacing w:w="0" w:type="dxa"/>
              </w:trPr>
              <w:tc>
                <w:tcPr>
                  <w:tcW w:w="5084" w:type="dxa"/>
                  <w:gridSpan w:val="7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Нестабилна ангина</w:t>
                  </w:r>
                </w:p>
              </w:tc>
              <w:tc>
                <w:tcPr>
                  <w:tcW w:w="1871" w:type="dxa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АМ</w:t>
                  </w:r>
                  <w:r w:rsidRPr="000439C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I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130</w:t>
                  </w:r>
                </w:p>
              </w:tc>
              <w:tc>
                <w:tcPr>
                  <w:tcW w:w="103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307</w:t>
                  </w: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90</w:t>
                  </w:r>
                </w:p>
              </w:tc>
              <w:tc>
                <w:tcPr>
                  <w:tcW w:w="11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648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139</w:t>
                  </w:r>
                </w:p>
              </w:tc>
              <w:tc>
                <w:tcPr>
                  <w:tcW w:w="103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351</w:t>
                  </w: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196</w:t>
                  </w:r>
                </w:p>
              </w:tc>
              <w:tc>
                <w:tcPr>
                  <w:tcW w:w="11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894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150</w:t>
                  </w:r>
                </w:p>
              </w:tc>
              <w:tc>
                <w:tcPr>
                  <w:tcW w:w="1037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jc w:val="left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360</w:t>
                  </w: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302</w:t>
                  </w:r>
                </w:p>
              </w:tc>
              <w:tc>
                <w:tcPr>
                  <w:tcW w:w="11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962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155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311</w:t>
                  </w:r>
                </w:p>
              </w:tc>
              <w:tc>
                <w:tcPr>
                  <w:tcW w:w="11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1015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lastRenderedPageBreak/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157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325</w:t>
                  </w:r>
                </w:p>
              </w:tc>
              <w:tc>
                <w:tcPr>
                  <w:tcW w:w="11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1143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162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335</w:t>
                  </w:r>
                </w:p>
              </w:tc>
              <w:tc>
                <w:tcPr>
                  <w:tcW w:w="11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1458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176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347</w:t>
                  </w:r>
                </w:p>
              </w:tc>
              <w:tc>
                <w:tcPr>
                  <w:tcW w:w="11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1955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180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349</w:t>
                  </w:r>
                </w:p>
              </w:tc>
              <w:tc>
                <w:tcPr>
                  <w:tcW w:w="11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2139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188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363</w:t>
                  </w:r>
                </w:p>
              </w:tc>
              <w:tc>
                <w:tcPr>
                  <w:tcW w:w="11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2200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198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377</w:t>
                  </w:r>
                </w:p>
              </w:tc>
              <w:tc>
                <w:tcPr>
                  <w:tcW w:w="11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3044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226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390</w:t>
                  </w:r>
                </w:p>
              </w:tc>
              <w:tc>
                <w:tcPr>
                  <w:tcW w:w="11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7590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   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232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398</w:t>
                  </w:r>
                </w:p>
              </w:tc>
              <w:tc>
                <w:tcPr>
                  <w:tcW w:w="1141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11138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257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545</w:t>
                  </w:r>
                </w:p>
              </w:tc>
              <w:tc>
                <w:tcPr>
                  <w:tcW w:w="1141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257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577</w:t>
                  </w:r>
                </w:p>
              </w:tc>
              <w:tc>
                <w:tcPr>
                  <w:tcW w:w="1141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297</w:t>
                  </w:r>
                </w:p>
              </w:tc>
              <w:tc>
                <w:tcPr>
                  <w:tcW w:w="1037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629</w:t>
                  </w:r>
                </w:p>
              </w:tc>
              <w:tc>
                <w:tcPr>
                  <w:tcW w:w="1141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</w:tbl>
          <w:p w:rsidR="003E3CC3" w:rsidRPr="000439C2" w:rsidRDefault="003E3CC3" w:rsidP="003E3CC3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3E3CC3" w:rsidRDefault="003E3CC3" w:rsidP="003E3CC3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3E3CC3" w:rsidRDefault="003E3CC3" w:rsidP="003E3CC3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v-SE"/>
        </w:rPr>
        <w:t>Ми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често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правимо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дијаграм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сензитивност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наспрам </w:t>
      </w:r>
      <w:r w:rsidRPr="0095267B">
        <w:rPr>
          <w:rFonts w:cs="Arial"/>
          <w:lang w:val="sv-SE"/>
        </w:rPr>
        <w:t>1-</w:t>
      </w:r>
      <w:r>
        <w:rPr>
          <w:rFonts w:cs="Arial"/>
          <w:lang w:val="sv-SE"/>
        </w:rPr>
        <w:t>специфичности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као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слици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11.</w:t>
      </w:r>
      <w:r>
        <w:rPr>
          <w:rFonts w:cs="Arial"/>
          <w:lang w:val="sr-Cyrl-CS"/>
        </w:rPr>
        <w:t>1</w:t>
      </w:r>
      <w:r w:rsidRPr="0095267B">
        <w:rPr>
          <w:rFonts w:cs="Arial"/>
          <w:lang w:val="sv-SE"/>
        </w:rPr>
        <w:t>(</w:t>
      </w:r>
      <w:r>
        <w:rPr>
          <w:rFonts w:cs="Arial"/>
          <w:lang w:val="sv-SE"/>
        </w:rPr>
        <w:t>б</w:t>
      </w:r>
      <w:r w:rsidRPr="0095267B">
        <w:rPr>
          <w:rFonts w:cs="Arial"/>
          <w:lang w:val="sv-SE"/>
        </w:rPr>
        <w:t xml:space="preserve">). </w:t>
      </w:r>
      <w:r>
        <w:rPr>
          <w:rFonts w:cs="Arial"/>
          <w:lang w:val="sv-SE"/>
        </w:rPr>
        <w:t>Можемо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видети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слике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11.</w:t>
      </w:r>
      <w:r>
        <w:rPr>
          <w:rFonts w:cs="Arial"/>
          <w:lang w:val="sr-Cyrl-CS"/>
        </w:rPr>
        <w:t>1</w:t>
      </w:r>
      <w:r w:rsidRPr="0095267B">
        <w:rPr>
          <w:rFonts w:cs="Arial"/>
          <w:lang w:val="sv-SE"/>
        </w:rPr>
        <w:t>(</w:t>
      </w:r>
      <w:r>
        <w:rPr>
          <w:rFonts w:cs="Arial"/>
          <w:lang w:val="sv-SE"/>
        </w:rPr>
        <w:t>б</w:t>
      </w:r>
      <w:r w:rsidRPr="0095267B">
        <w:rPr>
          <w:rFonts w:cs="Arial"/>
          <w:lang w:val="sv-SE"/>
        </w:rPr>
        <w:t xml:space="preserve">) </w:t>
      </w:r>
      <w:r>
        <w:rPr>
          <w:rFonts w:cs="Arial"/>
          <w:lang w:val="sv-SE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можемо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добити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високу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сензитивност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високу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специфичност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ако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одабере</w:t>
      </w:r>
      <w:r>
        <w:rPr>
          <w:rFonts w:cs="Arial"/>
          <w:lang w:val="sr-Cyrl-CS"/>
        </w:rPr>
        <w:t>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праву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граничну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тачку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Са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вредношћу </w:t>
      </w:r>
      <w:r w:rsidRPr="0095267B">
        <w:rPr>
          <w:rFonts w:cs="Arial"/>
          <w:lang w:val="sv-SE"/>
        </w:rPr>
        <w:t>1-</w:t>
      </w:r>
      <w:r>
        <w:rPr>
          <w:rFonts w:cs="Arial"/>
          <w:lang w:val="sv-SE"/>
        </w:rPr>
        <w:t>специфично</w:t>
      </w:r>
      <w:r>
        <w:rPr>
          <w:rFonts w:cs="Arial"/>
          <w:lang w:val="sr-Cyrl-CS"/>
        </w:rPr>
        <w:t>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мањом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0.1, </w:t>
      </w:r>
      <w:r>
        <w:rPr>
          <w:rFonts w:cs="Arial"/>
          <w:lang w:val="sv-SE"/>
        </w:rPr>
        <w:t>односно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сензитивно</w:t>
      </w:r>
      <w:r>
        <w:rPr>
          <w:rFonts w:cs="Arial"/>
          <w:lang w:val="sr-Cyrl-CS"/>
        </w:rPr>
        <w:t>шћу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већом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0.9. </w:t>
      </w:r>
      <w:r>
        <w:rPr>
          <w:rFonts w:cs="Arial"/>
          <w:lang w:val="sv-SE"/>
        </w:rPr>
        <w:t>можемо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такође добити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специфично</w:t>
      </w:r>
      <w:r>
        <w:rPr>
          <w:rFonts w:cs="Arial"/>
          <w:lang w:val="sr-Cyrl-CS"/>
        </w:rPr>
        <w:t>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већу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0.9.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ствари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гранична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тачка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200 </w:t>
      </w:r>
      <w:r>
        <w:rPr>
          <w:rFonts w:cs="Arial"/>
          <w:lang w:val="sv-SE"/>
        </w:rPr>
        <w:t>ће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сензитивност</w:t>
      </w:r>
      <w:r>
        <w:rPr>
          <w:rFonts w:cs="Arial"/>
          <w:lang w:val="sr-Cyrl-CS"/>
        </w:rPr>
        <w:t xml:space="preserve"> </w:t>
      </w:r>
      <w:r w:rsidRPr="0095267B">
        <w:rPr>
          <w:rFonts w:cs="Arial"/>
          <w:lang w:val="sv-SE"/>
        </w:rPr>
        <w:t xml:space="preserve">= 0.93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специфичност</w:t>
      </w:r>
      <w:r w:rsidRPr="0095267B">
        <w:rPr>
          <w:rFonts w:cs="Arial"/>
          <w:lang w:val="sv-SE"/>
        </w:rPr>
        <w:t xml:space="preserve"> = 0.91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овом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узорку</w:t>
      </w:r>
      <w:r w:rsidRPr="0095267B">
        <w:rPr>
          <w:rFonts w:cs="Arial"/>
          <w:lang w:val="sv-SE"/>
        </w:rPr>
        <w:t>. O</w:t>
      </w:r>
      <w:r>
        <w:rPr>
          <w:rFonts w:cs="Arial"/>
          <w:lang w:val="sv-SE"/>
        </w:rPr>
        <w:t>ве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процене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ће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бити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пристрасне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јер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процењујемо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граничну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тачку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тестирамо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истом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узорку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it-IT"/>
        </w:rPr>
        <w:t>Требало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проверимо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сензитивност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граничне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сигурни</w:t>
      </w:r>
      <w:r w:rsidRPr="0095267B">
        <w:rPr>
          <w:rFonts w:cs="Arial"/>
          <w:lang w:val="it-IT"/>
        </w:rPr>
        <w:t>.</w:t>
      </w:r>
    </w:p>
    <w:p w:rsidR="003E3CC3" w:rsidRPr="006D6EE6" w:rsidRDefault="003E3CC3" w:rsidP="003E3CC3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Површина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испод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ROC </w:t>
      </w:r>
      <w:r>
        <w:rPr>
          <w:rFonts w:cs="Arial"/>
          <w:lang w:val="it-IT"/>
        </w:rPr>
        <w:t>криве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често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цитирана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it-IT"/>
        </w:rPr>
        <w:t>овде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0.9753). O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предвиђа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члан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изабран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случајно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превазићи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члана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чини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U/n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A1013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у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ann</w:t>
      </w:r>
      <w:r w:rsidRPr="00371AAC">
        <w:rPr>
          <w:rFonts w:ascii="Symbol" w:hAnsi="Symbol" w:cs="Arial"/>
          <w:color w:val="0A0905"/>
          <w:lang w:val="sr-Latn-CS" w:eastAsia="sr-Latn-CS"/>
        </w:rPr>
        <w:t></w:t>
      </w:r>
      <w:r w:rsidRPr="000C6780">
        <w:rPr>
          <w:rFonts w:cs="Arial"/>
          <w:color w:val="0A0905"/>
          <w:lang w:val="sr-Latn-CS" w:eastAsia="sr-Latn-CS"/>
        </w:rPr>
        <w:t xml:space="preserve">Whitney U </w:t>
      </w:r>
      <w:r>
        <w:rPr>
          <w:rFonts w:cs="Arial"/>
          <w:color w:val="0A0905"/>
          <w:lang w:val="sr-Cyrl-CS" w:eastAsia="sr-Latn-CS"/>
        </w:rPr>
        <w:t>тесту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/>
        </w:rPr>
        <w:t>(</w:t>
      </w:r>
      <w:r>
        <w:rPr>
          <w:rFonts w:cs="Arial"/>
          <w:lang w:val="sr-Cyrl-CS"/>
        </w:rPr>
        <w:t>део 9</w:t>
      </w:r>
      <w:r w:rsidRPr="0095267B">
        <w:rPr>
          <w:rFonts w:cs="Arial"/>
          <w:lang w:val="it-IT"/>
        </w:rPr>
        <w:t xml:space="preserve">.2).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у </w:t>
      </w:r>
      <w:r>
        <w:rPr>
          <w:rFonts w:cs="Arial"/>
          <w:lang w:val="it-IT"/>
        </w:rPr>
        <w:t>поређењу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различитих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тестова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студији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површину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испод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ROC </w:t>
      </w:r>
      <w:r>
        <w:rPr>
          <w:rFonts w:cs="Arial"/>
          <w:lang w:val="it-IT"/>
        </w:rPr>
        <w:t>криве</w:t>
      </w:r>
      <w:r w:rsidRPr="0095267B">
        <w:rPr>
          <w:rFonts w:cs="Arial"/>
          <w:lang w:val="it-IT"/>
        </w:rPr>
        <w:t xml:space="preserve"> = 0.9825, </w:t>
      </w:r>
      <w:r>
        <w:rPr>
          <w:rFonts w:cs="Arial"/>
          <w:lang w:val="it-IT"/>
        </w:rPr>
        <w:t>указујући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овај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бољи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теста </w:t>
      </w:r>
      <w:r>
        <w:rPr>
          <w:rFonts w:cs="Arial"/>
          <w:lang w:val="it-IT"/>
        </w:rPr>
        <w:t>креатинкиназе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color w:val="0A0905"/>
          <w:lang w:val="sr-Latn-CS" w:eastAsia="sr-Latn-CS"/>
        </w:rPr>
        <w:t>C</w:t>
      </w:r>
      <w:r>
        <w:rPr>
          <w:rFonts w:cs="Arial"/>
          <w:color w:val="0A0905"/>
          <w:lang w:val="sr-Latn-CS" w:eastAsia="sr-Latn-CS"/>
        </w:rPr>
        <w:t>К</w:t>
      </w:r>
      <w:r>
        <w:rPr>
          <w:rFonts w:cs="Arial"/>
          <w:color w:val="0A0905"/>
          <w:lang w:val="sr-Cyrl-CS" w:eastAsia="sr-Latn-CS"/>
        </w:rPr>
        <w:t>)</w:t>
      </w:r>
      <w:r w:rsidRPr="0095267B">
        <w:rPr>
          <w:rFonts w:cs="Arial"/>
          <w:lang w:val="it-IT"/>
        </w:rPr>
        <w:t>.</w:t>
      </w:r>
    </w:p>
    <w:p w:rsidR="003E3CC3" w:rsidRDefault="003E3CC3" w:rsidP="003E3CC3">
      <w:pPr>
        <w:pStyle w:val="Figure1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56910" cy="2067560"/>
            <wp:effectExtent l="19050" t="0" r="0" b="0"/>
            <wp:docPr id="41" name="Picture 41" descr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Slika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06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CC3" w:rsidRPr="000439C2" w:rsidRDefault="003E3CC3" w:rsidP="003E3CC3">
      <w:pPr>
        <w:pStyle w:val="Figure1"/>
        <w:spacing w:after="0"/>
        <w:rPr>
          <w:lang w:val="sr-Latn-CS" w:eastAsia="sr-Latn-CS"/>
        </w:rPr>
      </w:pPr>
      <w:r>
        <w:rPr>
          <w:lang w:val="sr-Latn-CS" w:eastAsia="sr-Latn-CS"/>
        </w:rPr>
        <w:t>Слика</w:t>
      </w:r>
      <w:r w:rsidRPr="000439C2">
        <w:rPr>
          <w:lang w:val="sr-Latn-CS" w:eastAsia="sr-Latn-CS"/>
        </w:rPr>
        <w:t xml:space="preserve"> </w:t>
      </w:r>
      <w:r>
        <w:rPr>
          <w:lang w:val="sr-Latn-CS" w:eastAsia="sr-Latn-CS"/>
        </w:rPr>
        <w:t>11.1</w:t>
      </w:r>
      <w:r w:rsidRPr="000439C2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 Дијаграм растурања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ROC </w:t>
      </w:r>
      <w:r>
        <w:rPr>
          <w:rFonts w:cs="Arial"/>
          <w:lang w:val="it-IT"/>
        </w:rPr>
        <w:t>кривa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абеле</w:t>
      </w:r>
      <w:r w:rsidRPr="000439C2">
        <w:rPr>
          <w:lang w:val="sr-Latn-CS" w:eastAsia="sr-Latn-CS"/>
        </w:rPr>
        <w:t xml:space="preserve"> </w:t>
      </w:r>
      <w:r>
        <w:rPr>
          <w:lang w:val="sr-Latn-CS" w:eastAsia="sr-Latn-CS"/>
        </w:rPr>
        <w:t>11.2</w:t>
      </w:r>
    </w:p>
    <w:p w:rsidR="003E3CC3" w:rsidRDefault="003E3CC3" w:rsidP="003E3CC3">
      <w:pPr>
        <w:spacing w:before="0"/>
        <w:ind w:firstLine="720"/>
        <w:rPr>
          <w:rFonts w:cs="Arial"/>
          <w:lang w:val="sr-Cyrl-CS"/>
        </w:rPr>
      </w:pPr>
      <w:bookmarkStart w:id="11" w:name="_Toc261679012"/>
    </w:p>
    <w:p w:rsidR="003E3CC3" w:rsidRDefault="003E3CC3" w:rsidP="003E3CC3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позитивну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предиктивну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вредност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positive predictive value</w:t>
      </w:r>
      <w:r>
        <w:rPr>
          <w:rFonts w:cs="Arial"/>
          <w:lang w:val="sr-Cyrl-CS"/>
        </w:rPr>
        <w:t xml:space="preserve">)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b/>
          <w:bCs/>
          <w:color w:val="0A0905"/>
          <w:lang w:val="sr-Latn-CS" w:eastAsia="sr-Latn-CS"/>
        </w:rPr>
        <w:t>PPV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испитаник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 w:rsidRPr="00C04EF8">
        <w:rPr>
          <w:rFonts w:cs="Arial"/>
          <w:b/>
          <w:lang w:val="it-IT"/>
        </w:rPr>
        <w:t>истинито позитиван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true positive</w:t>
      </w:r>
      <w:r>
        <w:rPr>
          <w:rFonts w:cs="Arial"/>
          <w:lang w:val="sr-Cyrl-CS"/>
        </w:rPr>
        <w:t xml:space="preserve">) </w:t>
      </w:r>
      <w:r w:rsidRPr="0095267B">
        <w:rPr>
          <w:rFonts w:cs="Arial"/>
          <w:lang w:val="it-IT"/>
        </w:rPr>
        <w:t>(</w:t>
      </w:r>
      <w:r>
        <w:rPr>
          <w:rFonts w:cs="Arial"/>
          <w:lang w:val="it-IT"/>
        </w:rPr>
        <w:t>тј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исправно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класификован</w:t>
      </w:r>
      <w:r w:rsidRPr="0095267B">
        <w:rPr>
          <w:rFonts w:cs="Arial"/>
          <w:lang w:val="it-IT"/>
        </w:rPr>
        <w:t xml:space="preserve">)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негативну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предиктивну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вредност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negative predictive value</w:t>
      </w:r>
      <w:r>
        <w:rPr>
          <w:rFonts w:cs="Arial"/>
          <w:lang w:val="sr-Cyrl-CS"/>
        </w:rPr>
        <w:t xml:space="preserve">)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b/>
          <w:bCs/>
          <w:color w:val="0A0905"/>
          <w:lang w:val="sr-Latn-CS" w:eastAsia="sr-Latn-CS"/>
        </w:rPr>
        <w:t>NPV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испитаник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 w:rsidRPr="00E94664">
        <w:rPr>
          <w:rFonts w:cs="Arial"/>
          <w:b/>
          <w:lang w:val="it-IT"/>
        </w:rPr>
        <w:t>истинито негативан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true negative</w:t>
      </w:r>
      <w:r>
        <w:rPr>
          <w:rFonts w:cs="Arial"/>
          <w:lang w:val="sr-Cyrl-CS"/>
        </w:rPr>
        <w:t xml:space="preserve">) </w:t>
      </w:r>
      <w:r w:rsidRPr="0095267B">
        <w:rPr>
          <w:rFonts w:cs="Arial"/>
          <w:lang w:val="it-IT"/>
        </w:rPr>
        <w:t>(</w:t>
      </w:r>
      <w:r>
        <w:rPr>
          <w:rFonts w:cs="Arial"/>
          <w:lang w:val="it-IT"/>
        </w:rPr>
        <w:t>тј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исправно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класификован</w:t>
      </w:r>
      <w:r w:rsidRPr="0095267B">
        <w:rPr>
          <w:rFonts w:cs="Arial"/>
          <w:lang w:val="it-IT"/>
        </w:rPr>
        <w:t>). O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зависе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>
        <w:rPr>
          <w:rFonts w:cs="Arial"/>
          <w:lang w:val="sr-Cyrl-CS"/>
        </w:rPr>
        <w:t>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преваленце </w:t>
      </w:r>
      <w:r>
        <w:rPr>
          <w:rFonts w:cs="Arial"/>
          <w:lang w:val="it-IT"/>
        </w:rPr>
        <w:t>стања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prev</w:t>
      </w:r>
      <w:r w:rsidRPr="000C6780">
        <w:rPr>
          <w:rFonts w:cs="Arial"/>
          <w:color w:val="0A0905"/>
          <w:lang w:val="sr-Latn-CS" w:eastAsia="sr-Latn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>
        <w:rPr>
          <w:rFonts w:cs="Arial"/>
          <w:lang w:val="sr-Cyrl-CS"/>
        </w:rPr>
        <w:t>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сензитивности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sens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специфичности</w:t>
      </w:r>
      <w:r w:rsidRPr="0095267B">
        <w:rPr>
          <w:rFonts w:cs="Arial"/>
          <w:lang w:val="it-IT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spec</w:t>
      </w:r>
      <w:r w:rsidRPr="000C6780">
        <w:rPr>
          <w:rFonts w:cs="Arial"/>
          <w:color w:val="0A0905"/>
          <w:lang w:val="sr-Latn-CS" w:eastAsia="sr-Latn-CS"/>
        </w:rPr>
        <w:t>.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људи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знамо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преваленцу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проценити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PPV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NPV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директно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једноставне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пропорције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почели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контролних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преваленцу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проценити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PPV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NPV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</w:t>
      </w:r>
      <w:r>
        <w:rPr>
          <w:rFonts w:cs="Arial"/>
          <w:lang w:val="sr-Cyrl-CS"/>
        </w:rPr>
        <w:t>о</w:t>
      </w:r>
      <w:r>
        <w:rPr>
          <w:rFonts w:cs="Arial"/>
          <w:lang w:val="it-IT"/>
        </w:rPr>
        <w:t>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</w:t>
      </w:r>
      <w:r>
        <w:rPr>
          <w:rFonts w:cs="Arial"/>
          <w:lang w:val="sr-Cyrl-CS"/>
        </w:rPr>
        <w:t>о</w:t>
      </w:r>
      <w:r>
        <w:rPr>
          <w:rFonts w:cs="Arial"/>
          <w:lang w:val="it-IT"/>
        </w:rPr>
        <w:t>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преваленцом</w:t>
      </w:r>
      <w:r w:rsidRPr="0095267B">
        <w:rPr>
          <w:rFonts w:cs="Arial"/>
          <w:lang w:val="it-IT"/>
        </w:rPr>
        <w:t>.</w:t>
      </w:r>
      <w:r>
        <w:rPr>
          <w:rFonts w:cs="Arial"/>
          <w:lang w:val="sr-Cyrl-CS"/>
        </w:rPr>
        <w:t xml:space="preserve"> Ознака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sens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условна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позитивног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болешћу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sens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x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prev</w:t>
      </w:r>
      <w:r w:rsidRPr="000C6780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lang w:val="it-IT"/>
        </w:rPr>
        <w:t>Слично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томе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5E30B1">
        <w:rPr>
          <w:rFonts w:cs="Arial"/>
          <w:position w:val="-12"/>
          <w:lang w:val="it-IT"/>
        </w:rPr>
        <w:object w:dxaOrig="18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3pt;height:16.15pt" o:ole="">
            <v:imagedata r:id="rId9" o:title=""/>
          </v:shape>
          <o:OLEObject Type="Embed" ProgID="Equation.3" ShapeID="_x0000_i1025" DrawAspect="Content" ObjectID="_1602947157" r:id="rId10"/>
        </w:object>
      </w:r>
      <w:r w:rsidRPr="000C6780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</w:rPr>
        <w:t>Вероватноћа</w:t>
      </w:r>
      <w:r w:rsidRPr="000D1D7B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0D1D7B">
        <w:rPr>
          <w:rFonts w:cs="Arial"/>
          <w:lang w:val="sr-Latn-CS"/>
        </w:rPr>
        <w:t xml:space="preserve"> </w:t>
      </w:r>
      <w:r>
        <w:rPr>
          <w:rFonts w:cs="Arial"/>
        </w:rPr>
        <w:t>неко</w:t>
      </w:r>
      <w:r w:rsidRPr="000D1D7B">
        <w:rPr>
          <w:rFonts w:cs="Arial"/>
          <w:lang w:val="sr-Latn-CS"/>
        </w:rPr>
        <w:t xml:space="preserve"> </w:t>
      </w:r>
      <w:r>
        <w:rPr>
          <w:rFonts w:cs="Arial"/>
        </w:rPr>
        <w:t>буде</w:t>
      </w:r>
      <w:r w:rsidRPr="000D1D7B">
        <w:rPr>
          <w:rFonts w:cs="Arial"/>
          <w:lang w:val="sr-Latn-CS"/>
        </w:rPr>
        <w:t xml:space="preserve"> </w:t>
      </w:r>
      <w:r>
        <w:rPr>
          <w:rFonts w:cs="Arial"/>
        </w:rPr>
        <w:t>тест</w:t>
      </w:r>
      <w:r w:rsidRPr="000D1D7B">
        <w:rPr>
          <w:rFonts w:cs="Arial"/>
          <w:lang w:val="sr-Latn-CS"/>
        </w:rPr>
        <w:t xml:space="preserve"> </w:t>
      </w:r>
      <w:r>
        <w:rPr>
          <w:rFonts w:cs="Arial"/>
        </w:rPr>
        <w:t>позитиван</w:t>
      </w:r>
      <w:r w:rsidRPr="000D1D7B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0D1D7B">
        <w:rPr>
          <w:rFonts w:cs="Arial"/>
          <w:lang w:val="sr-Latn-CS"/>
        </w:rPr>
        <w:t xml:space="preserve"> </w:t>
      </w:r>
      <w:r>
        <w:rPr>
          <w:rFonts w:cs="Arial"/>
        </w:rPr>
        <w:t>збир</w:t>
      </w:r>
      <w:r w:rsidRPr="000D1D7B">
        <w:rPr>
          <w:rFonts w:cs="Arial"/>
          <w:lang w:val="sr-Latn-CS"/>
        </w:rPr>
        <w:t xml:space="preserve"> </w:t>
      </w:r>
      <w:r>
        <w:rPr>
          <w:rFonts w:cs="Arial"/>
        </w:rPr>
        <w:t>ових</w:t>
      </w:r>
      <w:r w:rsidRPr="000D1D7B">
        <w:rPr>
          <w:rFonts w:cs="Arial"/>
          <w:lang w:val="sr-Latn-CS"/>
        </w:rPr>
        <w:t xml:space="preserve"> (</w:t>
      </w:r>
      <w:r>
        <w:rPr>
          <w:rFonts w:cs="Arial"/>
          <w:lang w:val="sr-Cyrl-CS"/>
        </w:rPr>
        <w:t>део</w:t>
      </w:r>
      <w:r w:rsidRPr="000D1D7B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3</w:t>
      </w:r>
      <w:r w:rsidRPr="000D1D7B">
        <w:rPr>
          <w:rFonts w:cs="Arial"/>
          <w:lang w:val="sr-Latn-CS"/>
        </w:rPr>
        <w:t>.2</w:t>
      </w:r>
      <w:r>
        <w:rPr>
          <w:rFonts w:cs="Arial"/>
          <w:lang w:val="sr-Cyrl-CS"/>
        </w:rPr>
        <w:t xml:space="preserve">): </w:t>
      </w:r>
      <w:r w:rsidRPr="005F2664">
        <w:rPr>
          <w:rFonts w:cs="Arial"/>
          <w:position w:val="-12"/>
        </w:rPr>
        <w:object w:dxaOrig="3159" w:dyaOrig="320">
          <v:shape id="_x0000_i1026" type="#_x0000_t75" style="width:157.8pt;height:16.15pt" o:ole="">
            <v:imagedata r:id="rId11" o:title=""/>
          </v:shape>
          <o:OLEObject Type="Embed" ProgID="Equation.3" ShapeID="_x0000_i1026" DrawAspect="Content" ObjectID="_1602947158" r:id="rId12"/>
        </w:object>
      </w:r>
      <w:r>
        <w:rPr>
          <w:rFonts w:cs="Arial"/>
          <w:lang w:val="sr-Cyrl-CS"/>
        </w:rPr>
        <w:t>, и</w:t>
      </w:r>
      <w:r w:rsidRPr="000D1D7B">
        <w:rPr>
          <w:rFonts w:cs="Arial"/>
          <w:lang w:val="sr-Latn-CS"/>
        </w:rPr>
        <w:t xml:space="preserve">  </w:t>
      </w:r>
      <w:r w:rsidRPr="00E37383">
        <w:rPr>
          <w:rFonts w:cs="Arial"/>
          <w:lang w:val="sr-Latn-CS"/>
        </w:rPr>
        <w:t>позитивн</w:t>
      </w:r>
      <w:r>
        <w:rPr>
          <w:rFonts w:cs="Arial"/>
          <w:lang w:val="sr-Cyrl-CS"/>
        </w:rPr>
        <w:t>а</w:t>
      </w:r>
      <w:r w:rsidRPr="00E37383">
        <w:rPr>
          <w:rFonts w:cs="Arial"/>
          <w:lang w:val="sr-Latn-CS"/>
        </w:rPr>
        <w:t xml:space="preserve"> предиктивн</w:t>
      </w:r>
      <w:r>
        <w:rPr>
          <w:rFonts w:cs="Arial"/>
          <w:lang w:val="sr-Cyrl-CS"/>
        </w:rPr>
        <w:t>а</w:t>
      </w:r>
      <w:r w:rsidRPr="00E37383">
        <w:rPr>
          <w:rFonts w:cs="Arial"/>
          <w:lang w:val="sr-Latn-CS"/>
        </w:rPr>
        <w:t xml:space="preserve"> вредност </w:t>
      </w:r>
      <w:r>
        <w:rPr>
          <w:rFonts w:cs="Arial"/>
          <w:lang w:val="sr-Cyrl-CS"/>
        </w:rPr>
        <w:t>(</w:t>
      </w:r>
      <w:r w:rsidRPr="000C6780">
        <w:rPr>
          <w:rFonts w:cs="Arial"/>
          <w:color w:val="0A0905"/>
          <w:lang w:val="sr-Latn-CS" w:eastAsia="sr-Latn-CS"/>
        </w:rPr>
        <w:t>PPV</w:t>
      </w:r>
      <w:r>
        <w:rPr>
          <w:rFonts w:cs="Arial"/>
          <w:color w:val="0A0905"/>
          <w:lang w:val="sr-Cyrl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је</w:t>
      </w:r>
    </w:p>
    <w:p w:rsidR="003E3CC3" w:rsidRPr="0095267B" w:rsidRDefault="003E3CC3" w:rsidP="003E3CC3">
      <w:pPr>
        <w:pStyle w:val="Equation1"/>
      </w:pPr>
      <w:r w:rsidRPr="00A44203">
        <w:rPr>
          <w:rFonts w:cs="Arial"/>
          <w:position w:val="-28"/>
        </w:rPr>
        <w:object w:dxaOrig="2840" w:dyaOrig="639">
          <v:shape id="_x0000_i1027" type="#_x0000_t75" style="width:142.25pt;height:31.7pt" o:ole="">
            <v:imagedata r:id="rId13" o:title=""/>
          </v:shape>
          <o:OLEObject Type="Embed" ProgID="Equation.3" ShapeID="_x0000_i1027" DrawAspect="Content" ObjectID="_1602947159" r:id="rId14"/>
        </w:object>
      </w:r>
    </w:p>
    <w:p w:rsidR="003E3CC3" w:rsidRPr="00A44203" w:rsidRDefault="003E3CC3" w:rsidP="003E3CC3">
      <w:pPr>
        <w:spacing w:before="0"/>
        <w:ind w:firstLine="720"/>
        <w:rPr>
          <w:rFonts w:cs="Arial"/>
          <w:lang w:val="sr-Cyrl-CS"/>
        </w:rPr>
      </w:pPr>
    </w:p>
    <w:p w:rsidR="003E3CC3" w:rsidRDefault="003E3CC3" w:rsidP="003E3CC3">
      <w:pPr>
        <w:spacing w:before="0"/>
        <w:rPr>
          <w:rFonts w:cs="Arial"/>
          <w:lang w:val="sr-Cyrl-CS"/>
        </w:rPr>
      </w:pPr>
      <w:r w:rsidRPr="00D8169A">
        <w:rPr>
          <w:rFonts w:cs="Arial"/>
          <w:lang w:val="sr-Cyrl-CS"/>
        </w:rPr>
        <w:t>Слично, негативн</w:t>
      </w:r>
      <w:r>
        <w:rPr>
          <w:rFonts w:cs="Arial"/>
          <w:lang w:val="sr-Cyrl-CS"/>
        </w:rPr>
        <w:t>а</w:t>
      </w:r>
      <w:r w:rsidRPr="00D8169A">
        <w:rPr>
          <w:rFonts w:cs="Arial"/>
          <w:lang w:val="sr-Cyrl-CS"/>
        </w:rPr>
        <w:t xml:space="preserve"> предиктивн</w:t>
      </w:r>
      <w:r>
        <w:rPr>
          <w:rFonts w:cs="Arial"/>
          <w:lang w:val="sr-Cyrl-CS"/>
        </w:rPr>
        <w:t>а</w:t>
      </w:r>
      <w:r w:rsidRPr="00D8169A">
        <w:rPr>
          <w:rFonts w:cs="Arial"/>
          <w:lang w:val="sr-Cyrl-CS"/>
        </w:rPr>
        <w:t xml:space="preserve"> вредност </w:t>
      </w:r>
      <w:r>
        <w:rPr>
          <w:rFonts w:cs="Arial"/>
          <w:lang w:val="sr-Cyrl-CS"/>
        </w:rPr>
        <w:t>(</w:t>
      </w:r>
      <w:r w:rsidRPr="000C6780">
        <w:rPr>
          <w:rFonts w:cs="Arial"/>
          <w:color w:val="0A0905"/>
          <w:lang w:val="sr-Latn-CS" w:eastAsia="sr-Latn-CS"/>
        </w:rPr>
        <w:t>NPV</w:t>
      </w:r>
      <w:r>
        <w:rPr>
          <w:rFonts w:cs="Arial"/>
          <w:color w:val="0A0905"/>
          <w:lang w:val="sr-Cyrl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D8169A">
        <w:rPr>
          <w:rFonts w:cs="Arial"/>
          <w:lang w:val="sr-Cyrl-CS"/>
        </w:rPr>
        <w:t>је:</w:t>
      </w:r>
    </w:p>
    <w:p w:rsidR="003E3CC3" w:rsidRPr="0095267B" w:rsidRDefault="003E3CC3" w:rsidP="003E3CC3">
      <w:pPr>
        <w:pStyle w:val="Equation1"/>
      </w:pPr>
      <w:r w:rsidRPr="00A44203">
        <w:rPr>
          <w:rFonts w:cs="Arial"/>
          <w:position w:val="-28"/>
        </w:rPr>
        <w:object w:dxaOrig="2840" w:dyaOrig="639">
          <v:shape id="_x0000_i1028" type="#_x0000_t75" style="width:142.25pt;height:31.7pt" o:ole="">
            <v:imagedata r:id="rId15" o:title=""/>
          </v:shape>
          <o:OLEObject Type="Embed" ProgID="Equation.3" ShapeID="_x0000_i1028" DrawAspect="Content" ObjectID="_1602947160" r:id="rId16"/>
        </w:object>
      </w:r>
    </w:p>
    <w:p w:rsidR="003E3CC3" w:rsidRPr="002A616C" w:rsidRDefault="003E3CC3" w:rsidP="003E3CC3">
      <w:pPr>
        <w:spacing w:before="0"/>
        <w:rPr>
          <w:rFonts w:cs="Arial"/>
          <w:lang w:val="sr-Cyrl-CS"/>
        </w:rPr>
      </w:pPr>
    </w:p>
    <w:p w:rsidR="003E3CC3" w:rsidRDefault="003E3CC3" w:rsidP="003E3CC3">
      <w:pPr>
        <w:spacing w:before="0"/>
        <w:ind w:firstLine="720"/>
        <w:rPr>
          <w:rFonts w:cs="Arial"/>
          <w:lang w:val="sr-Cyrl-CS"/>
        </w:rPr>
      </w:pPr>
      <w:r w:rsidRPr="00CE23A0">
        <w:rPr>
          <w:rFonts w:cs="Arial"/>
          <w:lang w:val="sr-Cyrl-CS"/>
        </w:rPr>
        <w:t>У ситуацијама</w:t>
      </w:r>
      <w:r>
        <w:rPr>
          <w:rFonts w:cs="Arial"/>
          <w:lang w:val="sr-Cyrl-CS"/>
        </w:rPr>
        <w:t xml:space="preserve"> проверавања</w:t>
      </w:r>
      <w:r w:rsidRPr="00CE23A0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преваленца</w:t>
      </w:r>
      <w:r w:rsidRPr="00CE23A0">
        <w:rPr>
          <w:rFonts w:cs="Arial"/>
          <w:lang w:val="sr-Cyrl-CS"/>
        </w:rPr>
        <w:t xml:space="preserve"> је готово увек мал</w:t>
      </w:r>
      <w:r>
        <w:rPr>
          <w:rFonts w:cs="Arial"/>
          <w:lang w:val="sr-Cyrl-CS"/>
        </w:rPr>
        <w:t>а</w:t>
      </w:r>
      <w:r w:rsidRPr="00CE23A0">
        <w:rPr>
          <w:rFonts w:cs="Arial"/>
          <w:lang w:val="sr-Cyrl-CS"/>
        </w:rPr>
        <w:t xml:space="preserve"> и </w:t>
      </w:r>
      <w:r w:rsidRPr="000C6780">
        <w:rPr>
          <w:rFonts w:cs="Arial"/>
          <w:color w:val="0A0905"/>
          <w:lang w:val="sr-Latn-CS" w:eastAsia="sr-Latn-CS"/>
        </w:rPr>
        <w:t xml:space="preserve">PPV </w:t>
      </w:r>
      <w:r w:rsidRPr="00CE23A0">
        <w:rPr>
          <w:rFonts w:cs="Arial"/>
          <w:lang w:val="sr-Cyrl-CS"/>
        </w:rPr>
        <w:t xml:space="preserve">је </w:t>
      </w:r>
      <w:r>
        <w:rPr>
          <w:rFonts w:cs="Arial"/>
          <w:lang w:val="sr-Cyrl-CS"/>
        </w:rPr>
        <w:t>ниска</w:t>
      </w:r>
      <w:r w:rsidRPr="00CE23A0">
        <w:rPr>
          <w:rFonts w:cs="Arial"/>
          <w:lang w:val="sr-Cyrl-CS"/>
        </w:rPr>
        <w:t>. Претпоставимо да имамо прилично осетљив и специфичан тест</w:t>
      </w:r>
      <w:r>
        <w:rPr>
          <w:rFonts w:cs="Arial"/>
          <w:lang w:val="sr-Cyrl-CS"/>
        </w:rPr>
        <w:t>,</w:t>
      </w:r>
      <w:r w:rsidRPr="00CE23A0">
        <w:rPr>
          <w:rFonts w:cs="Arial"/>
          <w:lang w:val="sr-Cyrl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sens</w:t>
      </w:r>
      <w:r w:rsidRPr="000C6780">
        <w:rPr>
          <w:rFonts w:cs="Arial"/>
          <w:color w:val="0A0905"/>
          <w:lang w:val="sr-Latn-CS" w:eastAsia="sr-Latn-CS"/>
        </w:rPr>
        <w:t xml:space="preserve"> = 0.95 </w:t>
      </w:r>
      <w:r w:rsidRPr="00CE23A0">
        <w:rPr>
          <w:rFonts w:cs="Arial"/>
          <w:lang w:val="sr-Cyrl-CS"/>
        </w:rPr>
        <w:t xml:space="preserve">и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spec</w:t>
      </w:r>
      <w:r w:rsidRPr="000C6780">
        <w:rPr>
          <w:rFonts w:cs="Arial"/>
          <w:color w:val="0A0905"/>
          <w:lang w:val="sr-Latn-CS" w:eastAsia="sr-Latn-CS"/>
        </w:rPr>
        <w:t xml:space="preserve"> = 0.90</w:t>
      </w:r>
      <w:r w:rsidRPr="00CE23A0">
        <w:rPr>
          <w:rFonts w:cs="Arial"/>
          <w:lang w:val="sr-Cyrl-CS"/>
        </w:rPr>
        <w:t xml:space="preserve">, а болест има </w:t>
      </w:r>
      <w:r>
        <w:rPr>
          <w:rFonts w:cs="Arial"/>
          <w:lang w:val="sr-Cyrl-CS"/>
        </w:rPr>
        <w:t>преваленцу</w:t>
      </w:r>
      <w:r w:rsidRPr="00CE23A0">
        <w:rPr>
          <w:rFonts w:cs="Arial"/>
          <w:lang w:val="sr-Cyrl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prev</w:t>
      </w:r>
      <w:r w:rsidRPr="000C6780">
        <w:rPr>
          <w:rFonts w:cs="Arial"/>
          <w:color w:val="0A0905"/>
          <w:lang w:val="sr-Latn-CS" w:eastAsia="sr-Latn-CS"/>
        </w:rPr>
        <w:t xml:space="preserve"> =</w:t>
      </w:r>
      <w:r w:rsidRPr="00CE23A0">
        <w:rPr>
          <w:rFonts w:cs="Arial"/>
          <w:lang w:val="sr-Cyrl-CS"/>
        </w:rPr>
        <w:t xml:space="preserve"> 0.01 (1%). </w:t>
      </w:r>
      <w:r w:rsidRPr="0095267B">
        <w:rPr>
          <w:rFonts w:cs="Arial"/>
        </w:rPr>
        <w:t>O</w:t>
      </w:r>
      <w:r>
        <w:rPr>
          <w:rFonts w:cs="Arial"/>
        </w:rPr>
        <w:t>нда</w:t>
      </w:r>
    </w:p>
    <w:p w:rsidR="003E3CC3" w:rsidRDefault="003E3CC3" w:rsidP="003E3CC3">
      <w:pPr>
        <w:pStyle w:val="Equation1"/>
        <w:rPr>
          <w:rFonts w:cs="Arial"/>
          <w:lang w:val="sr-Cyrl-CS"/>
        </w:rPr>
      </w:pPr>
      <w:r w:rsidRPr="00537A1D">
        <w:rPr>
          <w:rFonts w:cs="Arial"/>
          <w:position w:val="-24"/>
        </w:rPr>
        <w:object w:dxaOrig="4260" w:dyaOrig="580">
          <v:shape id="_x0000_i1029" type="#_x0000_t75" style="width:212.55pt;height:28.8pt" o:ole="">
            <v:imagedata r:id="rId17" o:title=""/>
          </v:shape>
          <o:OLEObject Type="Embed" ProgID="Equation.3" ShapeID="_x0000_i1029" DrawAspect="Content" ObjectID="_1602947161" r:id="rId18"/>
        </w:object>
      </w:r>
    </w:p>
    <w:p w:rsidR="003E3CC3" w:rsidRPr="0095267B" w:rsidRDefault="003E3CC3" w:rsidP="003E3CC3">
      <w:pPr>
        <w:pStyle w:val="Equation1"/>
      </w:pPr>
      <w:r w:rsidRPr="00537A1D">
        <w:rPr>
          <w:rFonts w:cs="Arial"/>
          <w:position w:val="-24"/>
        </w:rPr>
        <w:object w:dxaOrig="4300" w:dyaOrig="580">
          <v:shape id="_x0000_i1030" type="#_x0000_t75" style="width:214.85pt;height:28.8pt" o:ole="">
            <v:imagedata r:id="rId19" o:title=""/>
          </v:shape>
          <o:OLEObject Type="Embed" ProgID="Equation.3" ShapeID="_x0000_i1030" DrawAspect="Content" ObjectID="_1602947162" r:id="rId20"/>
        </w:object>
      </w:r>
    </w:p>
    <w:p w:rsidR="003E3CC3" w:rsidRPr="00537A1D" w:rsidRDefault="003E3CC3" w:rsidP="003E3CC3">
      <w:pPr>
        <w:spacing w:before="0"/>
        <w:ind w:firstLine="720"/>
        <w:rPr>
          <w:rFonts w:cs="Arial"/>
          <w:lang w:val="sr-Cyrl-CS"/>
        </w:rPr>
      </w:pPr>
    </w:p>
    <w:p w:rsidR="003E3CC3" w:rsidRPr="00CE23A0" w:rsidRDefault="003E3CC3" w:rsidP="003E3CC3">
      <w:pPr>
        <w:spacing w:before="0"/>
        <w:rPr>
          <w:rFonts w:cs="Arial"/>
          <w:lang w:val="sr-Cyrl-CS"/>
        </w:rPr>
      </w:pPr>
      <w:r w:rsidRPr="00CE23A0">
        <w:rPr>
          <w:rFonts w:cs="Arial"/>
          <w:lang w:val="sr-Cyrl-CS"/>
        </w:rPr>
        <w:t>тако да би само 8.8% тест позитивних били истинито позитивни, али скоро сви тест негативни би били истинито негативни. Већина скрининг тестова се бави са много мањ</w:t>
      </w:r>
      <w:r>
        <w:rPr>
          <w:rFonts w:cs="Arial"/>
          <w:lang w:val="sr-Cyrl-CS"/>
        </w:rPr>
        <w:t>о</w:t>
      </w:r>
      <w:r w:rsidRPr="00CE23A0">
        <w:rPr>
          <w:rFonts w:cs="Arial"/>
          <w:lang w:val="sr-Cyrl-CS"/>
        </w:rPr>
        <w:t xml:space="preserve">м </w:t>
      </w:r>
      <w:r>
        <w:rPr>
          <w:rFonts w:cs="Arial"/>
          <w:lang w:val="sr-Cyrl-CS"/>
        </w:rPr>
        <w:t xml:space="preserve">преваленцом </w:t>
      </w:r>
      <w:r w:rsidRPr="00CE23A0">
        <w:rPr>
          <w:rFonts w:cs="Arial"/>
          <w:lang w:val="sr-Cyrl-CS"/>
        </w:rPr>
        <w:t>од ов</w:t>
      </w:r>
      <w:r>
        <w:rPr>
          <w:rFonts w:cs="Arial"/>
          <w:lang w:val="sr-Cyrl-CS"/>
        </w:rPr>
        <w:t>е</w:t>
      </w:r>
      <w:r w:rsidRPr="00CE23A0">
        <w:rPr>
          <w:rFonts w:cs="Arial"/>
          <w:lang w:val="sr-Cyrl-CS"/>
        </w:rPr>
        <w:t>, тако да већина тест позитивних су лажни позитивни.</w:t>
      </w:r>
    </w:p>
    <w:p w:rsidR="003E3CC3" w:rsidRPr="00CE23A0" w:rsidRDefault="003E3CC3" w:rsidP="003E3CC3">
      <w:pPr>
        <w:pStyle w:val="Heading3"/>
        <w:rPr>
          <w:lang w:val="sr-Cyrl-CS" w:eastAsia="sr-Latn-CS"/>
        </w:rPr>
      </w:pPr>
      <w:bookmarkStart w:id="12" w:name="_Toc465612085"/>
      <w:bookmarkStart w:id="13" w:name="_Toc529204147"/>
      <w:r w:rsidRPr="00CE23A0">
        <w:rPr>
          <w:lang w:val="sr-Cyrl-CS" w:eastAsia="sr-Latn-CS"/>
        </w:rPr>
        <w:t>11.</w:t>
      </w:r>
      <w:r>
        <w:rPr>
          <w:lang w:val="sr-Cyrl-CS" w:eastAsia="sr-Latn-CS"/>
        </w:rPr>
        <w:t>3</w:t>
      </w:r>
      <w:r w:rsidRPr="00CE23A0">
        <w:rPr>
          <w:lang w:val="sr-Cyrl-CS" w:eastAsia="sr-Latn-CS"/>
        </w:rPr>
        <w:t xml:space="preserve"> </w:t>
      </w:r>
      <w:bookmarkEnd w:id="11"/>
      <w:r w:rsidRPr="00CE23A0">
        <w:rPr>
          <w:lang w:val="sr-Cyrl-CS" w:eastAsia="sr-Latn-CS"/>
        </w:rPr>
        <w:t xml:space="preserve">Нормални опсег </w:t>
      </w:r>
      <w:r>
        <w:rPr>
          <w:lang w:val="sr-Cyrl-CS" w:eastAsia="sr-Latn-CS"/>
        </w:rPr>
        <w:t xml:space="preserve">или </w:t>
      </w:r>
      <w:r w:rsidRPr="00CE23A0">
        <w:rPr>
          <w:lang w:val="sr-Cyrl-CS" w:eastAsia="sr-Latn-CS"/>
        </w:rPr>
        <w:t>интервал референце</w:t>
      </w:r>
      <w:bookmarkEnd w:id="12"/>
      <w:bookmarkEnd w:id="13"/>
    </w:p>
    <w:p w:rsidR="003E3CC3" w:rsidRPr="00CE23A0" w:rsidRDefault="003E3CC3" w:rsidP="003E3CC3">
      <w:pPr>
        <w:spacing w:before="0"/>
        <w:rPr>
          <w:rFonts w:cs="Arial"/>
          <w:lang w:val="sr-Cyrl-CS"/>
        </w:rPr>
      </w:pPr>
      <w:r w:rsidRPr="00CE23A0">
        <w:rPr>
          <w:rFonts w:cs="Arial"/>
          <w:lang w:val="sr-Cyrl-CS"/>
        </w:rPr>
        <w:t xml:space="preserve">Следећи проблем је да се </w:t>
      </w:r>
      <w:r>
        <w:rPr>
          <w:rFonts w:cs="Arial"/>
          <w:lang w:val="sr-Cyrl-CS"/>
        </w:rPr>
        <w:t>предвиди</w:t>
      </w:r>
      <w:r w:rsidRPr="0095267B">
        <w:rPr>
          <w:rFonts w:cs="Arial"/>
          <w:lang w:val="sv-SE"/>
        </w:rPr>
        <w:t xml:space="preserve"> </w:t>
      </w:r>
      <w:r w:rsidRPr="00CE23A0">
        <w:rPr>
          <w:rFonts w:cs="Arial"/>
          <w:lang w:val="sr-Cyrl-CS"/>
        </w:rPr>
        <w:t xml:space="preserve">скуп вредности. Ако користимо опсег </w:t>
      </w:r>
      <w:r>
        <w:rPr>
          <w:rFonts w:cs="Arial"/>
          <w:lang w:val="sr-Cyrl-CS"/>
        </w:rPr>
        <w:t>посматрања</w:t>
      </w:r>
      <w:r w:rsidRPr="00CE23A0">
        <w:rPr>
          <w:rFonts w:cs="Arial"/>
          <w:lang w:val="sr-Cyrl-CS"/>
        </w:rPr>
        <w:t>, разлику између две најекстремније вредности, можемо бити прилично уверени да</w:t>
      </w:r>
      <w:r>
        <w:rPr>
          <w:rFonts w:cs="Arial"/>
          <w:lang w:val="sr-Cyrl-CS"/>
        </w:rPr>
        <w:t xml:space="preserve"> ћемо</w:t>
      </w:r>
      <w:r w:rsidRPr="00CE23A0">
        <w:rPr>
          <w:rFonts w:cs="Arial"/>
          <w:lang w:val="sr-Cyrl-CS"/>
        </w:rPr>
        <w:t xml:space="preserve"> ако наставимо са узорцима </w:t>
      </w:r>
      <w:r>
        <w:rPr>
          <w:rFonts w:cs="Arial"/>
          <w:lang w:val="sr-Cyrl-CS"/>
        </w:rPr>
        <w:t>коначно</w:t>
      </w:r>
      <w:r w:rsidRPr="00CE23A0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про</w:t>
      </w:r>
      <w:r w:rsidRPr="00CE23A0">
        <w:rPr>
          <w:rFonts w:cs="Arial"/>
          <w:lang w:val="sr-Cyrl-CS"/>
        </w:rPr>
        <w:t xml:space="preserve">наћи </w:t>
      </w:r>
      <w:r>
        <w:rPr>
          <w:rFonts w:cs="Arial"/>
          <w:lang w:val="sr-Cyrl-CS"/>
        </w:rPr>
        <w:t>посматрање</w:t>
      </w:r>
      <w:r w:rsidRPr="00CE23A0">
        <w:rPr>
          <w:rFonts w:cs="Arial"/>
          <w:lang w:val="sr-Cyrl-CS"/>
        </w:rPr>
        <w:t xml:space="preserve"> изван њих и опсег ће поста</w:t>
      </w:r>
      <w:r>
        <w:rPr>
          <w:rFonts w:cs="Arial"/>
          <w:lang w:val="sr-Cyrl-CS"/>
        </w:rPr>
        <w:t>јати</w:t>
      </w:r>
      <w:r w:rsidRPr="00CE23A0">
        <w:rPr>
          <w:rFonts w:cs="Arial"/>
          <w:lang w:val="sr-Cyrl-CS"/>
        </w:rPr>
        <w:t xml:space="preserve"> већи и већи (</w:t>
      </w:r>
      <w:r>
        <w:rPr>
          <w:rFonts w:cs="Arial"/>
          <w:lang w:val="sr-Cyrl-CS"/>
        </w:rPr>
        <w:t>део 1</w:t>
      </w:r>
      <w:r w:rsidRPr="00CE23A0">
        <w:rPr>
          <w:rFonts w:cs="Arial"/>
          <w:lang w:val="sr-Cyrl-CS"/>
        </w:rPr>
        <w:t>.7). Да би ово избегли користимо опсег између два квантила (</w:t>
      </w:r>
      <w:r>
        <w:rPr>
          <w:rFonts w:cs="Arial"/>
          <w:lang w:val="sr-Cyrl-CS"/>
        </w:rPr>
        <w:t>део 1</w:t>
      </w:r>
      <w:r w:rsidRPr="00CE23A0">
        <w:rPr>
          <w:rFonts w:cs="Arial"/>
          <w:lang w:val="sr-Cyrl-CS"/>
        </w:rPr>
        <w:t>.7), обично 2.5 центил</w:t>
      </w:r>
      <w:r>
        <w:rPr>
          <w:rFonts w:cs="Arial"/>
          <w:lang w:val="sr-Cyrl-CS"/>
        </w:rPr>
        <w:t>а</w:t>
      </w:r>
      <w:r w:rsidRPr="00CE23A0">
        <w:rPr>
          <w:rFonts w:cs="Arial"/>
          <w:lang w:val="sr-Cyrl-CS"/>
        </w:rPr>
        <w:t xml:space="preserve"> и 97.5 </w:t>
      </w:r>
      <w:r w:rsidRPr="00CE23A0">
        <w:rPr>
          <w:rFonts w:cs="Arial"/>
          <w:lang w:val="sr-Cyrl-CS"/>
        </w:rPr>
        <w:lastRenderedPageBreak/>
        <w:t>центил</w:t>
      </w:r>
      <w:r>
        <w:rPr>
          <w:rFonts w:cs="Arial"/>
          <w:lang w:val="sr-Cyrl-CS"/>
        </w:rPr>
        <w:t>а</w:t>
      </w:r>
      <w:r w:rsidRPr="00CE23A0">
        <w:rPr>
          <w:rFonts w:cs="Arial"/>
          <w:lang w:val="sr-Cyrl-CS"/>
        </w:rPr>
        <w:t xml:space="preserve">, који се зове </w:t>
      </w:r>
      <w:r w:rsidRPr="00CE23A0">
        <w:rPr>
          <w:rFonts w:cs="Arial"/>
          <w:b/>
          <w:lang w:val="sr-Cyrl-CS"/>
        </w:rPr>
        <w:t>нормални</w:t>
      </w:r>
      <w:r w:rsidRPr="00CE23A0">
        <w:rPr>
          <w:rFonts w:cs="Arial"/>
          <w:lang w:val="sr-Cyrl-CS"/>
        </w:rPr>
        <w:t xml:space="preserve"> </w:t>
      </w:r>
      <w:r w:rsidRPr="00CE23A0">
        <w:rPr>
          <w:rFonts w:cs="Arial"/>
          <w:b/>
          <w:lang w:val="sr-Cyrl-CS"/>
        </w:rPr>
        <w:t>опсег</w:t>
      </w:r>
      <w:r>
        <w:rPr>
          <w:rFonts w:cs="Arial"/>
          <w:lang w:val="sr-Cyrl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normal range</w:t>
      </w:r>
      <w:r>
        <w:rPr>
          <w:rFonts w:cs="Arial"/>
          <w:lang w:val="sr-Cyrl-CS"/>
        </w:rPr>
        <w:t>)</w:t>
      </w:r>
      <w:r w:rsidRPr="00CE23A0">
        <w:rPr>
          <w:rFonts w:cs="Arial"/>
          <w:lang w:val="sr-Cyrl-CS"/>
        </w:rPr>
        <w:t xml:space="preserve">, </w:t>
      </w:r>
      <w:r w:rsidRPr="00CE23A0">
        <w:rPr>
          <w:rFonts w:cs="Arial"/>
          <w:b/>
          <w:lang w:val="sr-Cyrl-CS"/>
        </w:rPr>
        <w:t>95</w:t>
      </w:r>
      <w:r w:rsidRPr="00CE23A0">
        <w:rPr>
          <w:rFonts w:cs="Arial"/>
          <w:lang w:val="sr-Cyrl-CS"/>
        </w:rPr>
        <w:t xml:space="preserve">% </w:t>
      </w:r>
      <w:r w:rsidRPr="00CE23A0">
        <w:rPr>
          <w:rFonts w:cs="Arial"/>
          <w:b/>
          <w:lang w:val="sr-Cyrl-CS"/>
        </w:rPr>
        <w:t>опсег</w:t>
      </w:r>
      <w:r w:rsidRPr="00CE23A0">
        <w:rPr>
          <w:rFonts w:cs="Arial"/>
          <w:lang w:val="sr-Cyrl-CS"/>
        </w:rPr>
        <w:t xml:space="preserve"> </w:t>
      </w:r>
      <w:r w:rsidRPr="00CE23A0">
        <w:rPr>
          <w:rFonts w:cs="Arial"/>
          <w:b/>
          <w:lang w:val="sr-Cyrl-CS"/>
        </w:rPr>
        <w:t>референце</w:t>
      </w:r>
      <w:r w:rsidRPr="00CE23A0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95% reference range</w:t>
      </w:r>
      <w:r>
        <w:rPr>
          <w:rFonts w:cs="Arial"/>
          <w:lang w:val="sr-Cyrl-CS"/>
        </w:rPr>
        <w:t xml:space="preserve">) </w:t>
      </w:r>
      <w:r w:rsidRPr="00CE23A0">
        <w:rPr>
          <w:rFonts w:cs="Arial"/>
          <w:lang w:val="sr-Cyrl-CS"/>
        </w:rPr>
        <w:t xml:space="preserve">или </w:t>
      </w:r>
      <w:r w:rsidRPr="00CE23A0">
        <w:rPr>
          <w:rFonts w:cs="Arial"/>
          <w:b/>
          <w:lang w:val="sr-Cyrl-CS"/>
        </w:rPr>
        <w:t>95</w:t>
      </w:r>
      <w:r w:rsidRPr="00CE23A0">
        <w:rPr>
          <w:rFonts w:cs="Arial"/>
          <w:lang w:val="sr-Cyrl-CS"/>
        </w:rPr>
        <w:t xml:space="preserve">% </w:t>
      </w:r>
      <w:r w:rsidRPr="00CE23A0">
        <w:rPr>
          <w:rFonts w:cs="Arial"/>
          <w:b/>
          <w:lang w:val="sr-Cyrl-CS"/>
        </w:rPr>
        <w:t>интервал</w:t>
      </w:r>
      <w:r w:rsidRPr="00CE23A0">
        <w:rPr>
          <w:rFonts w:cs="Arial"/>
          <w:lang w:val="sr-Cyrl-CS"/>
        </w:rPr>
        <w:t xml:space="preserve"> </w:t>
      </w:r>
      <w:r w:rsidRPr="00CE23A0">
        <w:rPr>
          <w:rFonts w:cs="Arial"/>
          <w:b/>
          <w:lang w:val="sr-Cyrl-CS"/>
        </w:rPr>
        <w:t>референце</w:t>
      </w:r>
      <w:r>
        <w:rPr>
          <w:rFonts w:cs="Arial"/>
          <w:lang w:val="sr-Cyrl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95% reference interval</w:t>
      </w:r>
      <w:r>
        <w:rPr>
          <w:rFonts w:cs="Arial"/>
          <w:lang w:val="sr-Cyrl-CS"/>
        </w:rPr>
        <w:t>)</w:t>
      </w:r>
      <w:r w:rsidRPr="00CE23A0">
        <w:rPr>
          <w:rFonts w:cs="Arial"/>
          <w:lang w:val="sr-Cyrl-CS"/>
        </w:rPr>
        <w:t xml:space="preserve">. </w:t>
      </w:r>
      <w:r w:rsidRPr="0095267B">
        <w:rPr>
          <w:rFonts w:cs="Arial"/>
        </w:rPr>
        <w:t>O</w:t>
      </w:r>
      <w:r w:rsidRPr="00CE23A0">
        <w:rPr>
          <w:rFonts w:cs="Arial"/>
          <w:lang w:val="sr-Cyrl-CS"/>
        </w:rPr>
        <w:t>во оставља 5% нормал</w:t>
      </w:r>
      <w:r>
        <w:rPr>
          <w:rFonts w:cs="Arial"/>
          <w:lang w:val="sr-Cyrl-CS"/>
        </w:rPr>
        <w:t>них</w:t>
      </w:r>
      <w:r w:rsidRPr="00CE23A0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 xml:space="preserve">посматрања </w:t>
      </w:r>
      <w:r w:rsidRPr="00CE23A0">
        <w:rPr>
          <w:rFonts w:cs="Arial"/>
          <w:lang w:val="sr-Cyrl-CS"/>
        </w:rPr>
        <w:t xml:space="preserve">изван </w:t>
      </w:r>
      <w:r>
        <w:rPr>
          <w:rFonts w:cs="Arial"/>
          <w:lang w:val="sr-Cyrl-CS"/>
        </w:rPr>
        <w:t>''</w:t>
      </w:r>
      <w:r w:rsidRPr="00CE23A0">
        <w:rPr>
          <w:rFonts w:cs="Arial"/>
          <w:lang w:val="sr-Cyrl-CS"/>
        </w:rPr>
        <w:t>нормалног опсега</w:t>
      </w:r>
      <w:r>
        <w:rPr>
          <w:rFonts w:cs="Arial"/>
          <w:lang w:val="sr-Cyrl-CS"/>
        </w:rPr>
        <w:t>'',</w:t>
      </w:r>
      <w:r w:rsidRPr="00CE23A0">
        <w:rPr>
          <w:rFonts w:cs="Arial"/>
          <w:lang w:val="sr-Cyrl-CS"/>
        </w:rPr>
        <w:t xml:space="preserve"> што је скуп вредности у оквиру којих ће се налазити 95% мерења </w:t>
      </w:r>
      <w:r>
        <w:rPr>
          <w:rFonts w:cs="Arial"/>
          <w:lang w:val="sr-Cyrl-CS"/>
        </w:rPr>
        <w:t>очигледно</w:t>
      </w:r>
      <w:r w:rsidRPr="00CE23A0">
        <w:rPr>
          <w:rFonts w:cs="Arial"/>
          <w:lang w:val="sr-Cyrl-CS"/>
        </w:rPr>
        <w:t xml:space="preserve"> здравих особа.</w:t>
      </w:r>
    </w:p>
    <w:p w:rsidR="003E3CC3" w:rsidRPr="00CE23A0" w:rsidRDefault="003E3CC3" w:rsidP="003E3CC3">
      <w:pPr>
        <w:spacing w:before="0"/>
        <w:ind w:firstLine="720"/>
        <w:rPr>
          <w:rFonts w:cs="Arial"/>
          <w:lang w:val="sr-Cyrl-CS"/>
        </w:rPr>
      </w:pPr>
      <w:r w:rsidRPr="00CE23A0">
        <w:rPr>
          <w:rFonts w:cs="Arial"/>
          <w:lang w:val="sr-Cyrl-CS"/>
        </w:rPr>
        <w:t xml:space="preserve">Трећи проблем потиче из </w:t>
      </w:r>
      <w:r>
        <w:rPr>
          <w:rFonts w:cs="Arial"/>
          <w:lang w:val="sr-Cyrl-CS"/>
        </w:rPr>
        <w:t>конфузије</w:t>
      </w:r>
      <w:r w:rsidRPr="00CE23A0">
        <w:rPr>
          <w:rFonts w:cs="Arial"/>
          <w:lang w:val="sr-Cyrl-CS"/>
        </w:rPr>
        <w:t xml:space="preserve"> између </w:t>
      </w:r>
      <w:r>
        <w:rPr>
          <w:rFonts w:cs="Arial"/>
          <w:lang w:val="sr-Cyrl-CS"/>
        </w:rPr>
        <w:t>''</w:t>
      </w:r>
      <w:r w:rsidRPr="00CE23A0">
        <w:rPr>
          <w:rFonts w:cs="Arial"/>
          <w:lang w:val="sr-Cyrl-CS"/>
        </w:rPr>
        <w:t>нормалног</w:t>
      </w:r>
      <w:r>
        <w:rPr>
          <w:rFonts w:cs="Arial"/>
          <w:lang w:val="sr-Cyrl-CS"/>
        </w:rPr>
        <w:t>''</w:t>
      </w:r>
      <w:r w:rsidRPr="00CE23A0">
        <w:rPr>
          <w:rFonts w:cs="Arial"/>
          <w:lang w:val="sr-Cyrl-CS"/>
        </w:rPr>
        <w:t xml:space="preserve"> које се користи у медицини</w:t>
      </w:r>
      <w:r>
        <w:rPr>
          <w:rFonts w:cs="Arial"/>
          <w:lang w:val="sr-Cyrl-CS"/>
        </w:rPr>
        <w:t xml:space="preserve"> </w:t>
      </w:r>
      <w:r w:rsidRPr="00CE23A0">
        <w:rPr>
          <w:rFonts w:cs="Arial"/>
          <w:lang w:val="sr-Cyrl-CS"/>
        </w:rPr>
        <w:t xml:space="preserve">и "Нормалне расподеле" која се користи у статистици. </w:t>
      </w:r>
      <w:r w:rsidRPr="0095267B">
        <w:rPr>
          <w:rFonts w:cs="Arial"/>
        </w:rPr>
        <w:t>O</w:t>
      </w:r>
      <w:r w:rsidRPr="00CE23A0">
        <w:rPr>
          <w:rFonts w:cs="Arial"/>
          <w:lang w:val="sr-Cyrl-CS"/>
        </w:rPr>
        <w:t xml:space="preserve">во је навело неке људе да развију приступе који кажу да су сви подаци који се не уклапају </w:t>
      </w:r>
      <w:r>
        <w:rPr>
          <w:rFonts w:cs="Arial"/>
          <w:lang w:val="sr-Cyrl-CS"/>
        </w:rPr>
        <w:t>испод</w:t>
      </w:r>
      <w:r w:rsidRPr="00CE23A0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Н</w:t>
      </w:r>
      <w:r w:rsidRPr="00CE23A0">
        <w:rPr>
          <w:rFonts w:cs="Arial"/>
          <w:lang w:val="sr-Cyrl-CS"/>
        </w:rPr>
        <w:t>ормалн</w:t>
      </w:r>
      <w:r>
        <w:rPr>
          <w:rFonts w:cs="Arial"/>
          <w:lang w:val="sr-Cyrl-CS"/>
        </w:rPr>
        <w:t>е</w:t>
      </w:r>
      <w:r w:rsidRPr="00CE23A0">
        <w:rPr>
          <w:rFonts w:cs="Arial"/>
          <w:lang w:val="sr-Cyrl-CS"/>
        </w:rPr>
        <w:t xml:space="preserve"> крив</w:t>
      </w:r>
      <w:r>
        <w:rPr>
          <w:rFonts w:cs="Arial"/>
          <w:lang w:val="sr-Cyrl-CS"/>
        </w:rPr>
        <w:t>е</w:t>
      </w:r>
      <w:r w:rsidRPr="00CE23A0">
        <w:rPr>
          <w:rFonts w:cs="Arial"/>
          <w:lang w:val="sr-Cyrl-CS"/>
        </w:rPr>
        <w:t xml:space="preserve"> абнормални! Такв</w:t>
      </w:r>
      <w:r>
        <w:rPr>
          <w:rFonts w:cs="Arial"/>
          <w:lang w:val="sr-Cyrl-CS"/>
        </w:rPr>
        <w:t>и</w:t>
      </w:r>
      <w:r w:rsidRPr="00CE23A0">
        <w:rPr>
          <w:rFonts w:cs="Arial"/>
          <w:lang w:val="sr-Cyrl-CS"/>
        </w:rPr>
        <w:t xml:space="preserve"> метод</w:t>
      </w:r>
      <w:r>
        <w:rPr>
          <w:rFonts w:cs="Arial"/>
          <w:lang w:val="sr-Cyrl-CS"/>
        </w:rPr>
        <w:t>и</w:t>
      </w:r>
      <w:r w:rsidRPr="00CE23A0">
        <w:rPr>
          <w:rFonts w:cs="Arial"/>
          <w:lang w:val="sr-Cyrl-CS"/>
        </w:rPr>
        <w:t xml:space="preserve"> су просто апсурдн</w:t>
      </w:r>
      <w:r>
        <w:rPr>
          <w:rFonts w:cs="Arial"/>
          <w:lang w:val="sr-Cyrl-CS"/>
        </w:rPr>
        <w:t>и</w:t>
      </w:r>
      <w:r w:rsidRPr="00CE23A0">
        <w:rPr>
          <w:rFonts w:cs="Arial"/>
          <w:lang w:val="sr-Cyrl-CS"/>
        </w:rPr>
        <w:t xml:space="preserve">, </w:t>
      </w:r>
      <w:r>
        <w:rPr>
          <w:rFonts w:cs="Arial"/>
          <w:lang w:val="sr-Cyrl-CS"/>
        </w:rPr>
        <w:t xml:space="preserve">и </w:t>
      </w:r>
      <w:r w:rsidRPr="00CE23A0">
        <w:rPr>
          <w:rFonts w:cs="Arial"/>
          <w:lang w:val="sr-Cyrl-CS"/>
        </w:rPr>
        <w:t>нема разлога да претпоставимо да све променљиве следе Нормалну расподелу (</w:t>
      </w:r>
      <w:r>
        <w:rPr>
          <w:rFonts w:cs="Arial"/>
          <w:lang w:val="sr-Cyrl-CS"/>
        </w:rPr>
        <w:t>део 4</w:t>
      </w:r>
      <w:r w:rsidRPr="00CE23A0">
        <w:rPr>
          <w:rFonts w:cs="Arial"/>
          <w:lang w:val="sr-Cyrl-CS"/>
        </w:rPr>
        <w:t>.4</w:t>
      </w:r>
      <w:r>
        <w:rPr>
          <w:rFonts w:cs="Arial"/>
          <w:lang w:val="sr-Cyrl-CS"/>
        </w:rPr>
        <w:t xml:space="preserve"> и</w:t>
      </w:r>
      <w:r w:rsidRPr="00CE23A0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4</w:t>
      </w:r>
      <w:r w:rsidRPr="00CE23A0">
        <w:rPr>
          <w:rFonts w:cs="Arial"/>
          <w:lang w:val="sr-Cyrl-CS"/>
        </w:rPr>
        <w:t xml:space="preserve">.5). </w:t>
      </w:r>
      <w:r>
        <w:rPr>
          <w:rFonts w:cs="Arial"/>
          <w:lang w:val="sr-Cyrl-CS"/>
        </w:rPr>
        <w:t>Појам</w:t>
      </w:r>
      <w:r w:rsidRPr="00CE23A0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''</w:t>
      </w:r>
      <w:r w:rsidRPr="00CE23A0">
        <w:rPr>
          <w:rFonts w:cs="Arial"/>
          <w:lang w:val="sr-Cyrl-CS"/>
        </w:rPr>
        <w:t>интервал референце</w:t>
      </w:r>
      <w:r>
        <w:rPr>
          <w:rFonts w:cs="Arial"/>
          <w:lang w:val="sr-Cyrl-CS"/>
        </w:rPr>
        <w:t>''</w:t>
      </w:r>
      <w:r w:rsidRPr="00CE23A0">
        <w:rPr>
          <w:rFonts w:cs="Arial"/>
          <w:lang w:val="sr-Cyrl-CS"/>
        </w:rPr>
        <w:t xml:space="preserve">, који је почео нашироко да се користи, има предност избегавања ове </w:t>
      </w:r>
      <w:r>
        <w:rPr>
          <w:rFonts w:cs="Arial"/>
          <w:lang w:val="sr-Cyrl-CS"/>
        </w:rPr>
        <w:t>конфузије</w:t>
      </w:r>
      <w:r w:rsidRPr="00CE23A0">
        <w:rPr>
          <w:rFonts w:cs="Arial"/>
          <w:lang w:val="sr-Cyrl-CS"/>
        </w:rPr>
        <w:t>. Међутим, најчешће коришћен метод израчунавања заснива се на претпоставци да променљива следи Нормалну расподелу.</w:t>
      </w:r>
    </w:p>
    <w:p w:rsidR="003E3CC3" w:rsidRPr="00CE23A0" w:rsidRDefault="003E3CC3" w:rsidP="003E3CC3">
      <w:pPr>
        <w:spacing w:before="0"/>
        <w:ind w:firstLine="720"/>
        <w:rPr>
          <w:rFonts w:cs="Arial"/>
          <w:lang w:val="sr-Cyrl-CS"/>
        </w:rPr>
      </w:pPr>
      <w:r w:rsidRPr="00CE23A0">
        <w:rPr>
          <w:rFonts w:cs="Arial"/>
          <w:lang w:val="sr-Cyrl-CS"/>
        </w:rPr>
        <w:t xml:space="preserve">Већ смо видели да </w:t>
      </w:r>
      <w:r>
        <w:rPr>
          <w:rFonts w:cs="Arial"/>
          <w:lang w:val="sr-Cyrl-CS"/>
        </w:rPr>
        <w:t>генерално</w:t>
      </w:r>
      <w:r w:rsidRPr="00CE23A0">
        <w:rPr>
          <w:rFonts w:cs="Arial"/>
          <w:lang w:val="sr-Cyrl-CS"/>
        </w:rPr>
        <w:t xml:space="preserve"> већина посматрања спада </w:t>
      </w:r>
      <w:r>
        <w:rPr>
          <w:rFonts w:cs="Arial"/>
          <w:lang w:val="sr-Cyrl-CS"/>
        </w:rPr>
        <w:t>унутар</w:t>
      </w:r>
      <w:r w:rsidRPr="00CE23A0">
        <w:rPr>
          <w:rFonts w:cs="Arial"/>
          <w:lang w:val="sr-Cyrl-CS"/>
        </w:rPr>
        <w:t xml:space="preserve"> дв</w:t>
      </w:r>
      <w:r>
        <w:rPr>
          <w:rFonts w:cs="Arial"/>
          <w:lang w:val="sr-Cyrl-CS"/>
        </w:rPr>
        <w:t>а</w:t>
      </w:r>
      <w:r w:rsidRPr="00CE23A0">
        <w:rPr>
          <w:rFonts w:cs="Arial"/>
          <w:lang w:val="sr-Cyrl-CS"/>
        </w:rPr>
        <w:t xml:space="preserve"> стандардн</w:t>
      </w:r>
      <w:r>
        <w:rPr>
          <w:rFonts w:cs="Arial"/>
          <w:lang w:val="sr-Cyrl-CS"/>
        </w:rPr>
        <w:t>а</w:t>
      </w:r>
      <w:r w:rsidRPr="00CE23A0">
        <w:rPr>
          <w:rFonts w:cs="Arial"/>
          <w:lang w:val="sr-Cyrl-CS"/>
        </w:rPr>
        <w:t xml:space="preserve"> одступања од средине, и да је за Нормалну расподелу 95% у оквиру ових ограничења са 2.5% испод и</w:t>
      </w:r>
      <w:r>
        <w:rPr>
          <w:rFonts w:cs="Arial"/>
          <w:lang w:val="sr-Cyrl-CS"/>
        </w:rPr>
        <w:t xml:space="preserve"> </w:t>
      </w:r>
      <w:r w:rsidRPr="00CE23A0">
        <w:rPr>
          <w:rFonts w:cs="Arial"/>
          <w:lang w:val="sr-Cyrl-CS"/>
        </w:rPr>
        <w:t xml:space="preserve">2.5% изнад. Ако проценимо средину и стандардно одступање података </w:t>
      </w:r>
      <w:r>
        <w:rPr>
          <w:rFonts w:cs="Arial"/>
          <w:lang w:val="sr-Cyrl-CS"/>
        </w:rPr>
        <w:t>из</w:t>
      </w:r>
      <w:r w:rsidRPr="00CE23A0">
        <w:rPr>
          <w:rFonts w:cs="Arial"/>
          <w:lang w:val="sr-Cyrl-CS"/>
        </w:rPr>
        <w:t xml:space="preserve"> Нормалне популације можемо проценити интервал референце као </w:t>
      </w:r>
      <w:r w:rsidRPr="00770E61">
        <w:rPr>
          <w:rFonts w:cs="Arial"/>
          <w:position w:val="-6"/>
        </w:rPr>
        <w:object w:dxaOrig="600" w:dyaOrig="300">
          <v:shape id="_x0000_i1031" type="#_x0000_t75" style="width:29.95pt;height:15pt" o:ole="">
            <v:imagedata r:id="rId21" o:title=""/>
          </v:shape>
          <o:OLEObject Type="Embed" ProgID="Equation.3" ShapeID="_x0000_i1031" DrawAspect="Content" ObjectID="_1602947163" r:id="rId22"/>
        </w:object>
      </w:r>
      <w:r>
        <w:rPr>
          <w:rFonts w:cs="Arial"/>
          <w:lang w:val="sr-Cyrl-CS"/>
        </w:rPr>
        <w:t xml:space="preserve"> </w:t>
      </w:r>
      <w:r w:rsidRPr="00CE23A0">
        <w:rPr>
          <w:rFonts w:cs="Arial"/>
          <w:lang w:val="sr-Cyrl-CS"/>
        </w:rPr>
        <w:t xml:space="preserve">до </w:t>
      </w:r>
      <w:r w:rsidRPr="00770E61">
        <w:rPr>
          <w:rFonts w:cs="Arial"/>
          <w:position w:val="-6"/>
        </w:rPr>
        <w:object w:dxaOrig="600" w:dyaOrig="300">
          <v:shape id="_x0000_i1032" type="#_x0000_t75" style="width:29.95pt;height:15pt" o:ole="">
            <v:imagedata r:id="rId23" o:title=""/>
          </v:shape>
          <o:OLEObject Type="Embed" ProgID="Equation.3" ShapeID="_x0000_i1032" DrawAspect="Content" ObjectID="_1602947164" r:id="rId24"/>
        </w:object>
      </w:r>
      <w:r w:rsidRPr="00CE23A0">
        <w:rPr>
          <w:rFonts w:cs="Arial"/>
          <w:lang w:val="sr-Cyrl-CS"/>
        </w:rPr>
        <w:t>.</w:t>
      </w:r>
    </w:p>
    <w:p w:rsidR="003E3CC3" w:rsidRPr="00CE23A0" w:rsidRDefault="003E3CC3" w:rsidP="003E3CC3">
      <w:pPr>
        <w:spacing w:before="0"/>
        <w:ind w:firstLine="720"/>
        <w:rPr>
          <w:rFonts w:cs="Arial"/>
          <w:lang w:val="sr-Cyrl-CS"/>
        </w:rPr>
      </w:pPr>
      <w:r w:rsidRPr="00CE23A0">
        <w:rPr>
          <w:rFonts w:cs="Arial"/>
          <w:lang w:val="sr-Cyrl-CS"/>
        </w:rPr>
        <w:t xml:space="preserve">Размотрите </w:t>
      </w:r>
      <w:r w:rsidRPr="000C6780">
        <w:rPr>
          <w:rFonts w:cs="Arial"/>
          <w:color w:val="0A0905"/>
          <w:lang w:val="sr-Latn-CS" w:eastAsia="sr-Latn-CS"/>
        </w:rPr>
        <w:t xml:space="preserve">FEV1 </w:t>
      </w:r>
      <w:r w:rsidRPr="00CE23A0">
        <w:rPr>
          <w:rFonts w:cs="Arial"/>
          <w:lang w:val="sr-Cyrl-CS"/>
        </w:rPr>
        <w:t xml:space="preserve">податке </w:t>
      </w:r>
      <w:r>
        <w:rPr>
          <w:rFonts w:cs="Arial"/>
          <w:lang w:val="sr-Cyrl-CS"/>
        </w:rPr>
        <w:t>из т</w:t>
      </w:r>
      <w:r w:rsidRPr="00CE23A0">
        <w:rPr>
          <w:rFonts w:cs="Arial"/>
          <w:lang w:val="sr-Cyrl-CS"/>
        </w:rPr>
        <w:t xml:space="preserve">абеле </w:t>
      </w:r>
      <w:r>
        <w:rPr>
          <w:rFonts w:cs="Arial"/>
          <w:lang w:val="sr-Cyrl-CS"/>
        </w:rPr>
        <w:t>1</w:t>
      </w:r>
      <w:r w:rsidRPr="00CE23A0">
        <w:rPr>
          <w:rFonts w:cs="Arial"/>
          <w:lang w:val="sr-Cyrl-CS"/>
        </w:rPr>
        <w:t>.</w:t>
      </w:r>
      <w:r>
        <w:rPr>
          <w:rFonts w:cs="Arial"/>
          <w:lang w:val="sr-Cyrl-CS"/>
        </w:rPr>
        <w:t>4</w:t>
      </w:r>
      <w:r w:rsidRPr="00CE23A0">
        <w:rPr>
          <w:rFonts w:cs="Arial"/>
          <w:lang w:val="sr-Cyrl-CS"/>
        </w:rPr>
        <w:t xml:space="preserve">. Проценићемо интервал референце за </w:t>
      </w:r>
      <w:r w:rsidRPr="000C6780">
        <w:rPr>
          <w:rFonts w:cs="Arial"/>
          <w:color w:val="0A0905"/>
          <w:lang w:val="sr-Latn-CS" w:eastAsia="sr-Latn-CS"/>
        </w:rPr>
        <w:t xml:space="preserve">FEV1 </w:t>
      </w:r>
      <w:r w:rsidRPr="00CE23A0">
        <w:rPr>
          <w:rFonts w:cs="Arial"/>
          <w:lang w:val="sr-Cyrl-CS"/>
        </w:rPr>
        <w:t xml:space="preserve">код мушких студената медицине. Имамо 57 посматрања, средину 4.06 и стандардно одступање 0.67 литара. Интервал референце је стога од 2.7 до 5.4 литара. Из табеле </w:t>
      </w:r>
      <w:r>
        <w:rPr>
          <w:rFonts w:cs="Arial"/>
          <w:lang w:val="sr-Cyrl-CS"/>
        </w:rPr>
        <w:t>1</w:t>
      </w:r>
      <w:r w:rsidRPr="00CE23A0">
        <w:rPr>
          <w:rFonts w:cs="Arial"/>
          <w:lang w:val="sr-Cyrl-CS"/>
        </w:rPr>
        <w:t>.4 видимо да је, у ствари, само један студент (2%)  изван ових граница, иако је узорак прилично мали.</w:t>
      </w:r>
    </w:p>
    <w:p w:rsidR="003E3CC3" w:rsidRDefault="003E3CC3" w:rsidP="003E3CC3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Интервал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грешке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поверења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границе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пронаћи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Процене</w:t>
      </w:r>
      <w:r w:rsidRPr="0095267B">
        <w:rPr>
          <w:rFonts w:cs="Arial"/>
          <w:lang w:val="it-IT"/>
        </w:rPr>
        <w:t xml:space="preserve"> </w:t>
      </w:r>
      <w:r w:rsidRPr="00612D61">
        <w:rPr>
          <w:rFonts w:cs="Arial"/>
          <w:position w:val="-4"/>
        </w:rPr>
        <w:object w:dxaOrig="200" w:dyaOrig="279">
          <v:shape id="_x0000_i1033" type="#_x0000_t75" style="width:9.8pt;height:13.8pt" o:ole="">
            <v:imagedata r:id="rId25" o:title=""/>
          </v:shape>
          <o:OLEObject Type="Embed" ProgID="Equation.3" ShapeID="_x0000_i1033" DrawAspect="Content" ObjectID="_1602947165" r:id="rId26"/>
        </w:object>
      </w:r>
      <w:r w:rsidRPr="0095267B">
        <w:rPr>
          <w:rFonts w:cs="Arial"/>
          <w:i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i/>
          <w:lang w:val="it-IT"/>
        </w:rPr>
        <w:t>s</w:t>
      </w:r>
      <w:r w:rsidRPr="0095267B">
        <w:rPr>
          <w:rFonts w:cs="Arial"/>
          <w:i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независне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стандардним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грешкама</w:t>
      </w:r>
      <w:r w:rsidRPr="0095267B">
        <w:rPr>
          <w:rFonts w:cs="Arial"/>
          <w:lang w:val="it-IT"/>
        </w:rPr>
        <w:t xml:space="preserve"> </w:t>
      </w:r>
      <w:r w:rsidRPr="00612D61">
        <w:rPr>
          <w:rFonts w:cs="Arial"/>
          <w:position w:val="-8"/>
          <w:lang w:val="it-IT"/>
        </w:rPr>
        <w:object w:dxaOrig="680" w:dyaOrig="380">
          <v:shape id="_x0000_i1034" type="#_x0000_t75" style="width:34pt;height:19pt" o:ole="">
            <v:imagedata r:id="rId27" o:title=""/>
          </v:shape>
          <o:OLEObject Type="Embed" ProgID="Equation.3" ShapeID="_x0000_i1034" DrawAspect="Content" ObjectID="_1602947166" r:id="rId28"/>
        </w:objec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612D61">
        <w:rPr>
          <w:rFonts w:cs="Arial"/>
          <w:position w:val="-12"/>
          <w:lang w:val="it-IT"/>
        </w:rPr>
        <w:object w:dxaOrig="1160" w:dyaOrig="420">
          <v:shape id="_x0000_i1035" type="#_x0000_t75" style="width:58.2pt;height:21.3pt" o:ole="">
            <v:imagedata r:id="rId29" o:title=""/>
          </v:shape>
          <o:OLEObject Type="Embed" ProgID="Equation.3" ShapeID="_x0000_i1035" DrawAspect="Content" ObjectID="_1602947167" r:id="rId30"/>
        </w:objec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it-IT"/>
        </w:rPr>
        <w:t xml:space="preserve">део </w:t>
      </w:r>
      <w:r>
        <w:rPr>
          <w:rFonts w:cs="Arial"/>
          <w:lang w:val="sr-Cyrl-CS"/>
        </w:rPr>
        <w:t>5</w:t>
      </w:r>
      <w:r w:rsidRPr="000D1D7B">
        <w:rPr>
          <w:rFonts w:cs="Arial"/>
          <w:lang w:val="it-IT"/>
        </w:rPr>
        <w:t xml:space="preserve">.2 </w:t>
      </w:r>
      <w:r>
        <w:rPr>
          <w:rFonts w:cs="Arial"/>
          <w:lang w:val="sr-Cyrl-CS"/>
        </w:rPr>
        <w:t>и</w:t>
      </w:r>
      <w:r w:rsidRPr="000D1D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5</w:t>
      </w:r>
      <w:r w:rsidRPr="000D1D7B">
        <w:rPr>
          <w:rFonts w:cs="Arial"/>
          <w:lang w:val="it-IT"/>
        </w:rPr>
        <w:t>.7</w:t>
      </w:r>
      <w:r w:rsidRPr="0095267B">
        <w:rPr>
          <w:rFonts w:cs="Arial"/>
          <w:lang w:val="it-IT"/>
        </w:rPr>
        <w:t xml:space="preserve">). </w:t>
      </w:r>
      <w:r w:rsidRPr="00612D61">
        <w:rPr>
          <w:rFonts w:cs="Arial"/>
          <w:position w:val="-4"/>
        </w:rPr>
        <w:object w:dxaOrig="200" w:dyaOrig="279">
          <v:shape id="_x0000_i1036" type="#_x0000_t75" style="width:9.8pt;height:13.8pt" o:ole="">
            <v:imagedata r:id="rId25" o:title=""/>
          </v:shape>
          <o:OLEObject Type="Embed" ProgID="Equation.3" ShapeID="_x0000_i1036" DrawAspect="Content" ObjectID="_1602947168" r:id="rId31"/>
        </w:object>
      </w:r>
      <w:r w:rsidRPr="0095267B">
        <w:rPr>
          <w:rFonts w:cs="Arial"/>
          <w:i/>
          <w:lang w:val="it-IT"/>
        </w:rPr>
        <w:t xml:space="preserve"> </w:t>
      </w:r>
      <w:r>
        <w:rPr>
          <w:rFonts w:cs="Arial"/>
          <w:lang w:val="it-IT"/>
        </w:rPr>
        <w:t>прати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Нормалну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расподелу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i/>
          <w:lang w:val="it-IT"/>
        </w:rPr>
        <w:t>s</w:t>
      </w:r>
      <w:r w:rsidRPr="0095267B">
        <w:rPr>
          <w:rFonts w:cs="Arial"/>
          <w:i/>
          <w:lang w:val="it-IT"/>
        </w:rPr>
        <w:t xml:space="preserve"> </w:t>
      </w:r>
      <w:r>
        <w:rPr>
          <w:rFonts w:cs="Arial"/>
          <w:lang w:val="it-IT"/>
        </w:rPr>
        <w:t>расподелу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приближно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Нормална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sr-Cyrl-CS"/>
        </w:rPr>
        <w:t>Стога,</w:t>
      </w:r>
      <w:r w:rsidRPr="0095267B">
        <w:rPr>
          <w:rFonts w:cs="Arial"/>
          <w:lang w:val="it-IT"/>
        </w:rPr>
        <w:t xml:space="preserve"> </w:t>
      </w:r>
      <w:r w:rsidRPr="00770E61">
        <w:rPr>
          <w:rFonts w:cs="Arial"/>
          <w:position w:val="-6"/>
        </w:rPr>
        <w:object w:dxaOrig="600" w:dyaOrig="300">
          <v:shape id="_x0000_i1037" type="#_x0000_t75" style="width:29.95pt;height:15pt" o:ole="">
            <v:imagedata r:id="rId21" o:title=""/>
          </v:shape>
          <o:OLEObject Type="Embed" ProgID="Equation.3" ShapeID="_x0000_i1037" DrawAspect="Content" ObjectID="_1602947169" r:id="rId32"/>
        </w:object>
      </w:r>
      <w:r>
        <w:rPr>
          <w:rFonts w:cs="Arial"/>
          <w:lang w:val="sr-Cyrl-CS"/>
        </w:rPr>
        <w:t xml:space="preserve"> је и</w:t>
      </w:r>
      <w:r>
        <w:rPr>
          <w:rFonts w:cs="Arial"/>
          <w:lang w:val="it-IT"/>
        </w:rPr>
        <w:t>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Нормалне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варијансом</w:t>
      </w:r>
      <w:r w:rsidRPr="0095267B">
        <w:rPr>
          <w:rFonts w:cs="Arial"/>
          <w:lang w:val="it-IT"/>
        </w:rPr>
        <w:t>:</w:t>
      </w:r>
    </w:p>
    <w:p w:rsidR="003E3CC3" w:rsidRPr="0095267B" w:rsidRDefault="003E3CC3" w:rsidP="003E3CC3">
      <w:pPr>
        <w:pStyle w:val="Equation1"/>
      </w:pPr>
      <w:r w:rsidRPr="008D3D5F">
        <w:rPr>
          <w:rFonts w:cs="Arial"/>
          <w:position w:val="-26"/>
        </w:rPr>
        <w:object w:dxaOrig="7580" w:dyaOrig="639">
          <v:shape id="_x0000_i1038" type="#_x0000_t75" style="width:378.45pt;height:31.7pt" o:ole="">
            <v:imagedata r:id="rId33" o:title=""/>
          </v:shape>
          <o:OLEObject Type="Embed" ProgID="Equation.3" ShapeID="_x0000_i1038" DrawAspect="Content" ObjectID="_1602947170" r:id="rId34"/>
        </w:object>
      </w:r>
    </w:p>
    <w:p w:rsidR="003E3CC3" w:rsidRPr="008D3D5F" w:rsidRDefault="003E3CC3" w:rsidP="003E3CC3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3E3CC3" w:rsidRPr="00CE23A0" w:rsidRDefault="003E3CC3" w:rsidP="003E3CC3">
      <w:pPr>
        <w:spacing w:before="0"/>
        <w:ind w:firstLine="567"/>
        <w:rPr>
          <w:rFonts w:cs="Arial"/>
          <w:lang w:val="sr-Cyrl-CS"/>
        </w:rPr>
      </w:pPr>
      <w:r>
        <w:rPr>
          <w:rFonts w:cs="Arial"/>
          <w:lang w:val="sr-Cyrl-CS"/>
        </w:rPr>
        <w:t>Одавде</w:t>
      </w:r>
      <w:r w:rsidRPr="00CE23A0">
        <w:rPr>
          <w:rFonts w:cs="Arial"/>
          <w:lang w:val="sr-Cyrl-CS"/>
        </w:rPr>
        <w:t xml:space="preserve"> је, под условом да је Нормална претпоставка одржива</w:t>
      </w:r>
      <w:r>
        <w:rPr>
          <w:rFonts w:cs="Arial"/>
          <w:lang w:val="sr-Cyrl-CS"/>
        </w:rPr>
        <w:t>,</w:t>
      </w:r>
      <w:r w:rsidRPr="00CE23A0">
        <w:rPr>
          <w:rFonts w:cs="Arial"/>
          <w:lang w:val="sr-Cyrl-CS"/>
        </w:rPr>
        <w:t xml:space="preserve"> стандардна грешка границе интервала референце</w:t>
      </w:r>
    </w:p>
    <w:p w:rsidR="003E3CC3" w:rsidRPr="0095267B" w:rsidRDefault="003E3CC3" w:rsidP="003E3CC3">
      <w:pPr>
        <w:pStyle w:val="Equation1"/>
      </w:pPr>
      <w:r w:rsidRPr="00550611">
        <w:rPr>
          <w:rFonts w:cs="Arial"/>
          <w:position w:val="-28"/>
        </w:rPr>
        <w:object w:dxaOrig="1400" w:dyaOrig="680">
          <v:shape id="_x0000_i1039" type="#_x0000_t75" style="width:70.25pt;height:34pt" o:ole="">
            <v:imagedata r:id="rId35" o:title=""/>
          </v:shape>
          <o:OLEObject Type="Embed" ProgID="Equation.3" ShapeID="_x0000_i1039" DrawAspect="Content" ObjectID="_1602947171" r:id="rId36"/>
        </w:object>
      </w:r>
    </w:p>
    <w:p w:rsidR="003E3CC3" w:rsidRPr="00FE3709" w:rsidRDefault="003E3CC3" w:rsidP="003E3CC3">
      <w:pPr>
        <w:spacing w:before="0"/>
        <w:ind w:firstLine="567"/>
        <w:rPr>
          <w:rFonts w:cs="Arial"/>
          <w:lang w:val="sr-Cyrl-CS"/>
        </w:rPr>
      </w:pPr>
      <w:r>
        <w:rPr>
          <w:rFonts w:cs="Arial"/>
        </w:rPr>
        <w:t>Ако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  <w:i/>
        </w:rPr>
        <w:t>n</w:t>
      </w:r>
      <w:r w:rsidRPr="0095267B">
        <w:rPr>
          <w:rFonts w:cs="Arial"/>
          <w:i/>
        </w:rPr>
        <w:t xml:space="preserve"> </w:t>
      </w:r>
      <w:r>
        <w:rPr>
          <w:rFonts w:cs="Arial"/>
        </w:rPr>
        <w:t>велико</w:t>
      </w:r>
      <w:r w:rsidRPr="0095267B">
        <w:rPr>
          <w:rFonts w:cs="Arial"/>
        </w:rPr>
        <w:t xml:space="preserve"> </w:t>
      </w:r>
      <w:r>
        <w:rPr>
          <w:rFonts w:cs="Arial"/>
        </w:rPr>
        <w:t>ово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</w:rPr>
        <w:t xml:space="preserve">приближно </w:t>
      </w:r>
      <w:r w:rsidRPr="002E7CBC">
        <w:rPr>
          <w:rFonts w:cs="Arial"/>
          <w:position w:val="-8"/>
        </w:rPr>
        <w:object w:dxaOrig="800" w:dyaOrig="380">
          <v:shape id="_x0000_i1040" type="#_x0000_t75" style="width:40.3pt;height:19pt" o:ole="">
            <v:imagedata r:id="rId37" o:title=""/>
          </v:shape>
          <o:OLEObject Type="Embed" ProgID="Equation.3" ShapeID="_x0000_i1040" DrawAspect="Content" ObjectID="_1602947172" r:id="rId38"/>
        </w:object>
      </w:r>
      <w:r w:rsidRPr="0095267B">
        <w:rPr>
          <w:rFonts w:cs="Arial"/>
          <w:i/>
        </w:rPr>
        <w:t xml:space="preserve">. </w:t>
      </w: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FEV1 </w:t>
      </w:r>
      <w:r>
        <w:rPr>
          <w:rFonts w:cs="Arial"/>
        </w:rPr>
        <w:t>податке</w:t>
      </w:r>
      <w:r>
        <w:rPr>
          <w:rFonts w:cs="Arial"/>
          <w:lang w:val="sr-Cyrl-CS"/>
        </w:rPr>
        <w:t>,</w:t>
      </w:r>
      <w:r w:rsidRPr="0095267B">
        <w:rPr>
          <w:rFonts w:cs="Arial"/>
        </w:rPr>
        <w:t xml:space="preserve"> </w:t>
      </w:r>
      <w:r>
        <w:rPr>
          <w:rFonts w:cs="Arial"/>
        </w:rPr>
        <w:t>стандар</w:t>
      </w:r>
      <w:r>
        <w:rPr>
          <w:rFonts w:cs="Arial"/>
          <w:lang w:val="sr-Cyrl-CS"/>
        </w:rPr>
        <w:t>д</w:t>
      </w:r>
      <w:r>
        <w:rPr>
          <w:rFonts w:cs="Arial"/>
        </w:rPr>
        <w:t>на</w:t>
      </w:r>
      <w:r w:rsidRPr="0095267B">
        <w:rPr>
          <w:rFonts w:cs="Arial"/>
        </w:rPr>
        <w:t xml:space="preserve"> </w:t>
      </w:r>
      <w:r>
        <w:rPr>
          <w:rFonts w:cs="Arial"/>
        </w:rPr>
        <w:t>грешк</w:t>
      </w:r>
      <w:r>
        <w:rPr>
          <w:rFonts w:cs="Arial"/>
          <w:lang w:val="sr-Cyrl-CS"/>
        </w:rPr>
        <w:t>а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>
        <w:rPr>
          <w:rFonts w:cs="Arial"/>
          <w:lang w:val="sr-Cyrl-CS"/>
        </w:rPr>
        <w:t xml:space="preserve"> </w:t>
      </w:r>
      <w:r w:rsidRPr="002E7CBC">
        <w:rPr>
          <w:rFonts w:cs="Arial"/>
          <w:position w:val="-8"/>
        </w:rPr>
        <w:object w:dxaOrig="2079" w:dyaOrig="380">
          <v:shape id="_x0000_i1041" type="#_x0000_t75" style="width:103.7pt;height:19pt" o:ole="">
            <v:imagedata r:id="rId39" o:title=""/>
          </v:shape>
          <o:OLEObject Type="Embed" ProgID="Equation.3" ShapeID="_x0000_i1041" DrawAspect="Content" ObjectID="_1602947173" r:id="rId40"/>
        </w:object>
      </w:r>
      <w:r w:rsidRPr="0095267B">
        <w:rPr>
          <w:rFonts w:cs="Arial"/>
        </w:rPr>
        <w:t>. O</w:t>
      </w:r>
      <w:r>
        <w:rPr>
          <w:rFonts w:cs="Arial"/>
        </w:rPr>
        <w:t>туда</w:t>
      </w:r>
      <w:r w:rsidRPr="0095267B">
        <w:rPr>
          <w:rFonts w:cs="Arial"/>
        </w:rPr>
        <w:t xml:space="preserve"> 95% </w:t>
      </w:r>
      <w:r>
        <w:rPr>
          <w:rFonts w:cs="Arial"/>
        </w:rPr>
        <w:t>интервали</w:t>
      </w:r>
      <w:r w:rsidRPr="0095267B">
        <w:rPr>
          <w:rFonts w:cs="Arial"/>
        </w:rPr>
        <w:t xml:space="preserve"> </w:t>
      </w:r>
      <w:r>
        <w:rPr>
          <w:rFonts w:cs="Arial"/>
        </w:rPr>
        <w:t>поверења</w:t>
      </w:r>
      <w:r w:rsidRPr="0095267B">
        <w:rPr>
          <w:rFonts w:cs="Arial"/>
        </w:rPr>
        <w:t xml:space="preserve"> </w:t>
      </w: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>
        <w:rPr>
          <w:rFonts w:cs="Arial"/>
        </w:rPr>
        <w:t>ове</w:t>
      </w:r>
      <w:r w:rsidRPr="0095267B">
        <w:rPr>
          <w:rFonts w:cs="Arial"/>
        </w:rPr>
        <w:t xml:space="preserve"> </w:t>
      </w:r>
      <w:r>
        <w:rPr>
          <w:rFonts w:cs="Arial"/>
        </w:rPr>
        <w:t>границе</w:t>
      </w:r>
      <w:r w:rsidRPr="0095267B">
        <w:rPr>
          <w:rFonts w:cs="Arial"/>
        </w:rPr>
        <w:t xml:space="preserve"> </w:t>
      </w:r>
      <w:r>
        <w:rPr>
          <w:rFonts w:cs="Arial"/>
        </w:rPr>
        <w:t xml:space="preserve">су </w:t>
      </w:r>
      <w:r w:rsidRPr="00FE3709">
        <w:rPr>
          <w:rFonts w:cs="Arial"/>
          <w:position w:val="-6"/>
        </w:rPr>
        <w:object w:dxaOrig="1500" w:dyaOrig="260">
          <v:shape id="_x0000_i1042" type="#_x0000_t75" style="width:74.9pt;height:13.25pt" o:ole="">
            <v:imagedata r:id="rId41" o:title=""/>
          </v:shape>
          <o:OLEObject Type="Embed" ProgID="Equation.3" ShapeID="_x0000_i1042" DrawAspect="Content" ObjectID="_1602947174" r:id="rId42"/>
        </w:object>
      </w:r>
      <w:r>
        <w:rPr>
          <w:rFonts w:cs="Arial"/>
          <w:lang w:val="sr-Cyrl-CS"/>
        </w:rPr>
        <w:t xml:space="preserve">и </w:t>
      </w:r>
      <w:r w:rsidRPr="00FE3709">
        <w:rPr>
          <w:rFonts w:cs="Arial"/>
          <w:position w:val="-6"/>
        </w:rPr>
        <w:object w:dxaOrig="1520" w:dyaOrig="260">
          <v:shape id="_x0000_i1043" type="#_x0000_t75" style="width:76.05pt;height:13.25pt" o:ole="">
            <v:imagedata r:id="rId43" o:title=""/>
          </v:shape>
          <o:OLEObject Type="Embed" ProgID="Equation.3" ShapeID="_x0000_i1043" DrawAspect="Content" ObjectID="_1602947175" r:id="rId44"/>
        </w:object>
      </w:r>
      <w:r>
        <w:rPr>
          <w:rFonts w:cs="Arial"/>
          <w:lang w:val="sr-Cyrl-CS"/>
        </w:rPr>
        <w:t xml:space="preserve">, </w:t>
      </w:r>
      <w:r>
        <w:rPr>
          <w:rFonts w:cs="Arial"/>
        </w:rPr>
        <w:t>односно</w:t>
      </w:r>
      <w:r w:rsidRPr="0095267B">
        <w:rPr>
          <w:rFonts w:cs="Arial"/>
        </w:rPr>
        <w:t xml:space="preserve"> </w:t>
      </w:r>
      <w:r>
        <w:rPr>
          <w:rFonts w:cs="Arial"/>
        </w:rPr>
        <w:t>од</w:t>
      </w:r>
      <w:r w:rsidRPr="0095267B">
        <w:rPr>
          <w:rFonts w:cs="Arial"/>
        </w:rPr>
        <w:t xml:space="preserve"> 2.4 </w:t>
      </w:r>
      <w:r>
        <w:rPr>
          <w:rFonts w:cs="Arial"/>
        </w:rPr>
        <w:t>до</w:t>
      </w:r>
      <w:r w:rsidRPr="0095267B">
        <w:rPr>
          <w:rFonts w:cs="Arial"/>
        </w:rPr>
        <w:t xml:space="preserve"> 3.0 </w:t>
      </w:r>
      <w:r>
        <w:rPr>
          <w:rFonts w:cs="Arial"/>
          <w:lang w:val="sr-Cyrl-CS"/>
        </w:rPr>
        <w:t>и од</w:t>
      </w:r>
      <w:r w:rsidRPr="0095267B">
        <w:rPr>
          <w:rFonts w:cs="Arial"/>
        </w:rPr>
        <w:t xml:space="preserve"> 5.1 </w:t>
      </w:r>
      <w:r>
        <w:rPr>
          <w:rFonts w:cs="Arial"/>
        </w:rPr>
        <w:t>до</w:t>
      </w:r>
      <w:r w:rsidRPr="0095267B">
        <w:rPr>
          <w:rFonts w:cs="Arial"/>
        </w:rPr>
        <w:t xml:space="preserve"> 5.7 </w:t>
      </w:r>
      <w:r>
        <w:rPr>
          <w:rFonts w:cs="Arial"/>
        </w:rPr>
        <w:t>литара</w:t>
      </w:r>
      <w:r>
        <w:rPr>
          <w:rFonts w:cs="Arial"/>
          <w:lang w:val="sr-Cyrl-CS"/>
        </w:rPr>
        <w:t>.</w:t>
      </w:r>
    </w:p>
    <w:p w:rsidR="003E3CC3" w:rsidRPr="000D1D7B" w:rsidRDefault="003E3CC3" w:rsidP="003E3CC3">
      <w:pPr>
        <w:spacing w:before="0"/>
        <w:ind w:firstLine="567"/>
        <w:rPr>
          <w:rFonts w:cs="Arial"/>
          <w:lang w:val="sr-Cyrl-CS"/>
        </w:rPr>
      </w:pPr>
      <w:r w:rsidRPr="000D1D7B">
        <w:rPr>
          <w:rFonts w:cs="Arial"/>
          <w:lang w:val="sr-Cyrl-CS"/>
        </w:rPr>
        <w:t xml:space="preserve">Упоредите мерења серумског триглицерида из </w:t>
      </w:r>
      <w:r>
        <w:rPr>
          <w:rFonts w:cs="Arial"/>
          <w:lang w:val="sr-Cyrl-CS"/>
        </w:rPr>
        <w:t>т</w:t>
      </w:r>
      <w:r w:rsidRPr="000D1D7B">
        <w:rPr>
          <w:rFonts w:cs="Arial"/>
          <w:lang w:val="sr-Cyrl-CS"/>
        </w:rPr>
        <w:t xml:space="preserve">абеле </w:t>
      </w:r>
      <w:r>
        <w:rPr>
          <w:rFonts w:cs="Arial"/>
          <w:lang w:val="sr-Cyrl-CS"/>
        </w:rPr>
        <w:t>1</w:t>
      </w:r>
      <w:r w:rsidRPr="000D1D7B">
        <w:rPr>
          <w:rFonts w:cs="Arial"/>
          <w:lang w:val="sr-Cyrl-CS"/>
        </w:rPr>
        <w:t>.8. Као што је већ наведено (</w:t>
      </w:r>
      <w:r>
        <w:rPr>
          <w:rFonts w:cs="Arial"/>
          <w:lang w:val="sr-Cyrl-CS"/>
        </w:rPr>
        <w:t xml:space="preserve">део </w:t>
      </w:r>
      <w:r w:rsidRPr="000D1D7B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1</w:t>
      </w:r>
      <w:r w:rsidRPr="000D1D7B">
        <w:rPr>
          <w:rFonts w:cs="Arial"/>
          <w:lang w:val="sr-Cyrl-CS"/>
        </w:rPr>
        <w:t>.4</w:t>
      </w:r>
      <w:r>
        <w:rPr>
          <w:rFonts w:cs="Arial"/>
          <w:lang w:val="sr-Cyrl-CS"/>
        </w:rPr>
        <w:t xml:space="preserve"> и</w:t>
      </w:r>
      <w:r w:rsidRPr="000D1D7B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4</w:t>
      </w:r>
      <w:r w:rsidRPr="000D1D7B">
        <w:rPr>
          <w:rFonts w:cs="Arial"/>
          <w:lang w:val="sr-Cyrl-CS"/>
        </w:rPr>
        <w:t>.4)</w:t>
      </w:r>
      <w:r>
        <w:rPr>
          <w:rFonts w:cs="Arial"/>
          <w:lang w:val="sr-Cyrl-CS"/>
        </w:rPr>
        <w:t>,</w:t>
      </w:r>
      <w:r w:rsidRPr="000D1D7B">
        <w:rPr>
          <w:rFonts w:cs="Arial"/>
          <w:lang w:val="sr-Cyrl-CS"/>
        </w:rPr>
        <w:t xml:space="preserve"> подаци су веома искошени, </w:t>
      </w:r>
      <w:r>
        <w:rPr>
          <w:rFonts w:cs="Arial"/>
          <w:lang w:val="sr-Cyrl-CS"/>
        </w:rPr>
        <w:t xml:space="preserve">и </w:t>
      </w:r>
      <w:r w:rsidRPr="000D1D7B">
        <w:rPr>
          <w:rFonts w:cs="Arial"/>
          <w:lang w:val="sr-Cyrl-CS"/>
        </w:rPr>
        <w:t xml:space="preserve">не можемо директно користити Нормални метод. Да јесмо, доња граница би била 0.07, далеко испод било ког </w:t>
      </w:r>
      <w:r>
        <w:rPr>
          <w:rFonts w:cs="Arial"/>
          <w:lang w:val="sr-Cyrl-CS"/>
        </w:rPr>
        <w:t>посматрања</w:t>
      </w:r>
      <w:r w:rsidRPr="000D1D7B">
        <w:rPr>
          <w:rFonts w:cs="Arial"/>
          <w:lang w:val="sr-Cyrl-CS"/>
        </w:rPr>
        <w:t xml:space="preserve">, а горња граница би била 0.94, већа од оног што је 5% </w:t>
      </w:r>
      <w:r>
        <w:rPr>
          <w:rFonts w:cs="Arial"/>
          <w:lang w:val="sr-Cyrl-CS"/>
        </w:rPr>
        <w:t>посматрања</w:t>
      </w:r>
      <w:r w:rsidRPr="000D1D7B">
        <w:rPr>
          <w:rFonts w:cs="Arial"/>
          <w:lang w:val="sr-Cyrl-CS"/>
        </w:rPr>
        <w:t>. Могуће је да такви подаци дају негативну доњу границу.</w:t>
      </w:r>
    </w:p>
    <w:p w:rsidR="003E3CC3" w:rsidRPr="000D1D7B" w:rsidRDefault="003E3CC3" w:rsidP="003E3CC3">
      <w:pPr>
        <w:spacing w:before="0"/>
        <w:ind w:firstLine="720"/>
        <w:rPr>
          <w:rFonts w:cs="Arial"/>
          <w:lang w:val="sr-Cyrl-CS"/>
        </w:rPr>
      </w:pPr>
      <w:r w:rsidRPr="000D1D7B">
        <w:rPr>
          <w:rFonts w:cs="Arial"/>
          <w:lang w:val="sr-Cyrl-CS"/>
        </w:rPr>
        <w:t>Због очигледно незадовољавајуће природе Нормалне методе за неке податке, поједини аутори су заговарали директну процену процената (</w:t>
      </w:r>
      <w:r>
        <w:rPr>
          <w:rFonts w:cs="Arial"/>
          <w:lang w:val="sr-Cyrl-CS"/>
        </w:rPr>
        <w:t>део 1</w:t>
      </w:r>
      <w:r w:rsidRPr="000D1D7B">
        <w:rPr>
          <w:rFonts w:cs="Arial"/>
          <w:lang w:val="sr-Cyrl-CS"/>
        </w:rPr>
        <w:t xml:space="preserve">.5), без било какве претпоставке о расподели. </w:t>
      </w:r>
      <w:r w:rsidRPr="0095267B">
        <w:rPr>
          <w:rFonts w:cs="Arial"/>
        </w:rPr>
        <w:t>O</w:t>
      </w:r>
      <w:r w:rsidRPr="000D1D7B">
        <w:rPr>
          <w:rFonts w:cs="Arial"/>
          <w:lang w:val="sr-Cyrl-CS"/>
        </w:rPr>
        <w:t>во је привлачна идеја. Ми желимо да знамо тачку испод које ће се</w:t>
      </w:r>
      <w:r w:rsidRPr="00325C44">
        <w:rPr>
          <w:rFonts w:cs="Arial"/>
          <w:lang w:val="sr-Cyrl-CS"/>
        </w:rPr>
        <w:t xml:space="preserve"> </w:t>
      </w:r>
      <w:r w:rsidRPr="000D1D7B">
        <w:rPr>
          <w:rFonts w:cs="Arial"/>
          <w:lang w:val="sr-Cyrl-CS"/>
        </w:rPr>
        <w:t xml:space="preserve">налазити 2.5% вредности. Хајде да једноставно поређамо по </w:t>
      </w:r>
      <w:r>
        <w:rPr>
          <w:rFonts w:cs="Arial"/>
          <w:lang w:val="sr-Cyrl-CS"/>
        </w:rPr>
        <w:t>ранговима</w:t>
      </w:r>
      <w:r w:rsidRPr="000D1D7B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посматрања</w:t>
      </w:r>
      <w:r w:rsidRPr="000D1D7B">
        <w:rPr>
          <w:rFonts w:cs="Arial"/>
          <w:lang w:val="sr-Cyrl-CS"/>
        </w:rPr>
        <w:t xml:space="preserve"> и пронађемо тачку испод које се</w:t>
      </w:r>
      <w:r w:rsidRPr="00DD4B79">
        <w:rPr>
          <w:rFonts w:cs="Arial"/>
          <w:lang w:val="sr-Cyrl-CS"/>
        </w:rPr>
        <w:t xml:space="preserve"> </w:t>
      </w:r>
      <w:r w:rsidRPr="000D1D7B">
        <w:rPr>
          <w:rFonts w:cs="Arial"/>
          <w:lang w:val="sr-Cyrl-CS"/>
        </w:rPr>
        <w:t xml:space="preserve">налази 2.5% </w:t>
      </w:r>
      <w:r>
        <w:rPr>
          <w:rFonts w:cs="Arial"/>
          <w:lang w:val="sr-Cyrl-CS"/>
        </w:rPr>
        <w:t>посматрања</w:t>
      </w:r>
      <w:r w:rsidRPr="000D1D7B">
        <w:rPr>
          <w:rFonts w:cs="Arial"/>
          <w:lang w:val="sr-Cyrl-CS"/>
        </w:rPr>
        <w:t>. За 282 триглицерида, 2.5 и 97.5 центил се проналази као што следи. За 2.5 центил</w:t>
      </w:r>
      <w:r>
        <w:rPr>
          <w:rFonts w:cs="Arial"/>
          <w:lang w:val="sr-Cyrl-CS"/>
        </w:rPr>
        <w:t>а</w:t>
      </w:r>
      <w:r w:rsidRPr="000D1D7B">
        <w:rPr>
          <w:rFonts w:cs="Arial"/>
          <w:lang w:val="sr-Cyrl-CS"/>
        </w:rPr>
        <w:t>, налазимо</w:t>
      </w:r>
      <w:r>
        <w:rPr>
          <w:rFonts w:cs="Arial"/>
          <w:lang w:val="sr-Cyrl-CS"/>
        </w:rPr>
        <w:t xml:space="preserve"> </w:t>
      </w:r>
      <w:r w:rsidRPr="002B5504">
        <w:rPr>
          <w:rFonts w:cs="Arial"/>
          <w:position w:val="-10"/>
        </w:rPr>
        <w:object w:dxaOrig="3200" w:dyaOrig="300">
          <v:shape id="_x0000_i1044" type="#_x0000_t75" style="width:160.15pt;height:15pt" o:ole="">
            <v:imagedata r:id="rId45" o:title=""/>
          </v:shape>
          <o:OLEObject Type="Embed" ProgID="Equation.3" ShapeID="_x0000_i1044" DrawAspect="Content" ObjectID="_1602947176" r:id="rId46"/>
        </w:object>
      </w:r>
      <w:r w:rsidRPr="000D1D7B">
        <w:rPr>
          <w:rFonts w:cs="Arial"/>
          <w:color w:val="0A0905"/>
          <w:lang w:val="sr-Cyrl-CS" w:eastAsia="sr-Latn-CS"/>
        </w:rPr>
        <w:t xml:space="preserve">. </w:t>
      </w:r>
      <w:r w:rsidRPr="000D1D7B">
        <w:rPr>
          <w:rFonts w:cs="Arial"/>
          <w:lang w:val="sr-Cyrl-CS"/>
        </w:rPr>
        <w:t xml:space="preserve">Потребни квантил ће бити између </w:t>
      </w:r>
      <w:r>
        <w:rPr>
          <w:rFonts w:cs="Arial"/>
          <w:lang w:val="sr-Cyrl-CS"/>
        </w:rPr>
        <w:t>седмог</w:t>
      </w:r>
      <w:r w:rsidRPr="000D1D7B">
        <w:rPr>
          <w:rFonts w:cs="Arial"/>
          <w:lang w:val="sr-Cyrl-CS"/>
        </w:rPr>
        <w:t xml:space="preserve"> и </w:t>
      </w:r>
      <w:r>
        <w:rPr>
          <w:rFonts w:cs="Arial"/>
          <w:lang w:val="sr-Cyrl-CS"/>
        </w:rPr>
        <w:t>осмог</w:t>
      </w:r>
      <w:r w:rsidRPr="000D1D7B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посматрања</w:t>
      </w:r>
      <w:r w:rsidRPr="000D1D7B">
        <w:rPr>
          <w:rFonts w:cs="Arial"/>
          <w:lang w:val="sr-Cyrl-CS"/>
        </w:rPr>
        <w:t xml:space="preserve">. </w:t>
      </w:r>
      <w:r>
        <w:rPr>
          <w:rFonts w:cs="Arial"/>
          <w:lang w:val="sr-Cyrl-CS"/>
        </w:rPr>
        <w:t>Седмо</w:t>
      </w:r>
      <w:r w:rsidRPr="000D1D7B">
        <w:rPr>
          <w:rFonts w:cs="Arial"/>
          <w:lang w:val="sr-Cyrl-CS"/>
        </w:rPr>
        <w:t xml:space="preserve"> је 0.21, </w:t>
      </w:r>
      <w:r>
        <w:rPr>
          <w:rFonts w:cs="Arial"/>
          <w:lang w:val="sr-Cyrl-CS"/>
        </w:rPr>
        <w:t>а осмо</w:t>
      </w:r>
      <w:r w:rsidRPr="000D1D7B">
        <w:rPr>
          <w:rFonts w:cs="Arial"/>
          <w:lang w:val="sr-Cyrl-CS"/>
        </w:rPr>
        <w:t xml:space="preserve"> је 0.22</w:t>
      </w:r>
      <w:r>
        <w:rPr>
          <w:rFonts w:cs="Arial"/>
          <w:lang w:val="sr-Cyrl-CS"/>
        </w:rPr>
        <w:t>,</w:t>
      </w:r>
      <w:r w:rsidRPr="000D1D7B">
        <w:rPr>
          <w:rFonts w:cs="Arial"/>
          <w:lang w:val="sr-Cyrl-CS"/>
        </w:rPr>
        <w:t xml:space="preserve"> тако да би се 2.5 центил проценио помоћу</w:t>
      </w:r>
      <w:r w:rsidRPr="002B5504">
        <w:rPr>
          <w:rFonts w:cs="Arial"/>
          <w:position w:val="-10"/>
        </w:rPr>
        <w:object w:dxaOrig="3340" w:dyaOrig="300">
          <v:shape id="_x0000_i1045" type="#_x0000_t75" style="width:167.05pt;height:15pt" o:ole="">
            <v:imagedata r:id="rId47" o:title=""/>
          </v:shape>
          <o:OLEObject Type="Embed" ProgID="Equation.3" ShapeID="_x0000_i1045" DrawAspect="Content" ObjectID="_1602947177" r:id="rId48"/>
        </w:object>
      </w:r>
      <w:r w:rsidRPr="000D1D7B">
        <w:rPr>
          <w:rFonts w:cs="Arial"/>
          <w:color w:val="0A0905"/>
          <w:lang w:val="sr-Cyrl-CS" w:eastAsia="sr-Latn-CS"/>
        </w:rPr>
        <w:t>.</w:t>
      </w:r>
      <w:r w:rsidRPr="000D1D7B">
        <w:rPr>
          <w:rFonts w:cs="Arial"/>
          <w:lang w:val="sr-Cyrl-CS"/>
        </w:rPr>
        <w:t xml:space="preserve"> Слично 97.5 центил је 1.039.</w:t>
      </w:r>
    </w:p>
    <w:p w:rsidR="003E3CC3" w:rsidRDefault="003E3CC3" w:rsidP="003E3CC3">
      <w:pPr>
        <w:spacing w:before="0"/>
        <w:ind w:firstLine="720"/>
        <w:rPr>
          <w:rFonts w:cs="Arial"/>
          <w:lang w:val="sr-Cyrl-CS"/>
        </w:rPr>
      </w:pPr>
      <w:r w:rsidRPr="0095267B">
        <w:rPr>
          <w:rFonts w:cs="Arial"/>
        </w:rPr>
        <w:t>O</w:t>
      </w:r>
      <w:r w:rsidRPr="000D1D7B">
        <w:rPr>
          <w:rFonts w:cs="Arial"/>
          <w:lang w:val="sr-Cyrl-CS"/>
        </w:rPr>
        <w:t xml:space="preserve">вај приступ даје непристрасну процену без обзира која је расподела. Триглицерид трансформисан логаритмом ће дати управо исте резултате. </w:t>
      </w:r>
      <w:r w:rsidRPr="0095267B">
        <w:rPr>
          <w:rFonts w:cs="Arial"/>
        </w:rPr>
        <w:t>O</w:t>
      </w:r>
      <w:r w:rsidRPr="000D1D7B">
        <w:rPr>
          <w:rFonts w:cs="Arial"/>
          <w:lang w:val="sr-Cyrl-CS"/>
        </w:rPr>
        <w:t xml:space="preserve">братите пажњу да су границе Нормалне теорије из података трансформисаних логаритмом врло сличне. Сада посматрамо интервал поверења. 95% интервал поверења за </w:t>
      </w:r>
      <w:r w:rsidRPr="0095267B">
        <w:rPr>
          <w:rFonts w:cs="Arial"/>
          <w:i/>
          <w:iCs/>
          <w:color w:val="0A0905"/>
          <w:lang w:eastAsia="sr-Latn-CS"/>
        </w:rPr>
        <w:t>q</w:t>
      </w:r>
      <w:r w:rsidRPr="000D1D7B">
        <w:rPr>
          <w:rFonts w:cs="Arial"/>
          <w:lang w:val="sr-Cyrl-CS"/>
        </w:rPr>
        <w:t xml:space="preserve"> квантил, овде </w:t>
      </w:r>
      <w:r w:rsidRPr="0095267B">
        <w:rPr>
          <w:rFonts w:cs="Arial"/>
          <w:i/>
          <w:iCs/>
          <w:color w:val="0A0905"/>
          <w:lang w:eastAsia="sr-Latn-CS"/>
        </w:rPr>
        <w:t>q</w:t>
      </w:r>
      <w:r w:rsidRPr="000D1D7B">
        <w:rPr>
          <w:rFonts w:cs="Arial"/>
          <w:lang w:val="sr-Cyrl-CS"/>
        </w:rPr>
        <w:t xml:space="preserve"> је 0.025 или 0.975, процењен директно из података се налази помоћу </w:t>
      </w:r>
      <w:r>
        <w:rPr>
          <w:rFonts w:cs="Arial"/>
          <w:lang w:val="sr-Cyrl-CS"/>
        </w:rPr>
        <w:t>Биномног</w:t>
      </w:r>
      <w:r w:rsidRPr="000D1D7B">
        <w:rPr>
          <w:rFonts w:cs="Arial"/>
          <w:lang w:val="sr-Cyrl-CS"/>
        </w:rPr>
        <w:t xml:space="preserve"> метода расподеле. За податке о триглицеридима,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0D1D7B">
        <w:rPr>
          <w:rFonts w:cs="Arial"/>
          <w:lang w:val="sr-Cyrl-CS"/>
        </w:rPr>
        <w:t xml:space="preserve">= 282 и тако је за доњу границу, </w:t>
      </w:r>
      <w:r w:rsidRPr="0095267B">
        <w:rPr>
          <w:rFonts w:cs="Arial"/>
          <w:i/>
          <w:iCs/>
          <w:color w:val="0A0905"/>
          <w:lang w:eastAsia="sr-Latn-CS"/>
        </w:rPr>
        <w:t>q</w:t>
      </w:r>
      <w:r w:rsidRPr="000D1D7B">
        <w:rPr>
          <w:rFonts w:cs="Arial"/>
          <w:lang w:val="sr-Cyrl-CS"/>
        </w:rPr>
        <w:t xml:space="preserve"> = 0.025, имамо</w:t>
      </w:r>
    </w:p>
    <w:p w:rsidR="003E3CC3" w:rsidRDefault="003E3CC3" w:rsidP="003E3CC3">
      <w:pPr>
        <w:pStyle w:val="Equation1"/>
        <w:rPr>
          <w:rFonts w:cs="Arial"/>
          <w:lang w:val="sr-Cyrl-CS"/>
        </w:rPr>
      </w:pPr>
      <w:r w:rsidRPr="001C057B">
        <w:rPr>
          <w:rFonts w:cs="Arial"/>
          <w:position w:val="-10"/>
        </w:rPr>
        <w:object w:dxaOrig="3879" w:dyaOrig="360">
          <v:shape id="_x0000_i1046" type="#_x0000_t75" style="width:194.1pt;height:17.85pt" o:ole="">
            <v:imagedata r:id="rId49" o:title=""/>
          </v:shape>
          <o:OLEObject Type="Embed" ProgID="Equation.3" ShapeID="_x0000_i1046" DrawAspect="Content" ObjectID="_1602947178" r:id="rId50"/>
        </w:object>
      </w:r>
    </w:p>
    <w:p w:rsidR="003E3CC3" w:rsidRPr="001C057B" w:rsidRDefault="003E3CC3" w:rsidP="003E3CC3">
      <w:pPr>
        <w:pStyle w:val="Equation1"/>
        <w:rPr>
          <w:lang w:val="sr-Cyrl-CS"/>
        </w:rPr>
      </w:pPr>
      <w:r w:rsidRPr="001C057B">
        <w:rPr>
          <w:rFonts w:cs="Arial"/>
          <w:position w:val="-8"/>
          <w:lang w:val="sr-Cyrl-CS"/>
        </w:rPr>
        <w:object w:dxaOrig="3940" w:dyaOrig="340">
          <v:shape id="_x0000_i1047" type="#_x0000_t75" style="width:197pt;height:16.7pt" o:ole="">
            <v:imagedata r:id="rId51" o:title=""/>
          </v:shape>
          <o:OLEObject Type="Embed" ProgID="Equation.3" ShapeID="_x0000_i1047" DrawAspect="Content" ObjectID="_1602947179" r:id="rId52"/>
        </w:object>
      </w:r>
    </w:p>
    <w:p w:rsidR="003E3CC3" w:rsidRPr="000D1D7B" w:rsidRDefault="003E3CC3" w:rsidP="003E3CC3">
      <w:pPr>
        <w:spacing w:before="0"/>
        <w:ind w:firstLine="720"/>
        <w:rPr>
          <w:rFonts w:cs="Arial"/>
          <w:lang w:val="sr-Cyrl-CS"/>
        </w:rPr>
      </w:pPr>
    </w:p>
    <w:p w:rsidR="003E3CC3" w:rsidRPr="0095267B" w:rsidRDefault="003E3CC3" w:rsidP="003E3CC3">
      <w:pPr>
        <w:spacing w:before="0"/>
        <w:ind w:firstLine="567"/>
        <w:rPr>
          <w:rFonts w:cs="Arial"/>
          <w:lang w:val="it-IT"/>
        </w:rPr>
      </w:pPr>
      <w:r w:rsidRPr="0095267B">
        <w:rPr>
          <w:rFonts w:cs="Arial"/>
        </w:rPr>
        <w:t>O</w:t>
      </w:r>
      <w:r w:rsidRPr="00CE23A0">
        <w:rPr>
          <w:rFonts w:cs="Arial"/>
          <w:lang w:val="sr-Cyrl-CS"/>
        </w:rPr>
        <w:t xml:space="preserve">во даје </w:t>
      </w:r>
      <w:r w:rsidRPr="00CE23A0">
        <w:rPr>
          <w:rFonts w:cs="Arial"/>
          <w:i/>
          <w:lang w:val="sr-Cyrl-CS"/>
        </w:rPr>
        <w:t>ј</w:t>
      </w:r>
      <w:r w:rsidRPr="00CE23A0">
        <w:rPr>
          <w:rFonts w:cs="Arial"/>
          <w:lang w:val="sr-Cyrl-CS"/>
        </w:rPr>
        <w:t xml:space="preserve"> = 1.9 и </w:t>
      </w:r>
      <w:r w:rsidRPr="000C6780">
        <w:rPr>
          <w:rFonts w:cs="Arial"/>
          <w:i/>
          <w:iCs/>
          <w:color w:val="0A0905"/>
          <w:lang w:val="sr-Latn-CS" w:eastAsia="sr-Latn-CS"/>
        </w:rPr>
        <w:t>k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CE23A0">
        <w:rPr>
          <w:rFonts w:cs="Arial"/>
          <w:lang w:val="sr-Cyrl-CS"/>
        </w:rPr>
        <w:t xml:space="preserve">= 12.2, што заокружујемо на </w:t>
      </w:r>
      <w:r w:rsidRPr="00CE23A0">
        <w:rPr>
          <w:rFonts w:cs="Arial"/>
          <w:i/>
          <w:lang w:val="sr-Cyrl-CS"/>
        </w:rPr>
        <w:t xml:space="preserve">ј </w:t>
      </w:r>
      <w:r w:rsidRPr="00CE23A0">
        <w:rPr>
          <w:rFonts w:cs="Arial"/>
          <w:lang w:val="sr-Cyrl-CS"/>
        </w:rPr>
        <w:t xml:space="preserve">= 2 и </w:t>
      </w:r>
      <w:r w:rsidRPr="000C6780">
        <w:rPr>
          <w:rFonts w:cs="Arial"/>
          <w:i/>
          <w:iCs/>
          <w:color w:val="0A0905"/>
          <w:lang w:val="sr-Latn-CS" w:eastAsia="sr-Latn-CS"/>
        </w:rPr>
        <w:t>k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CE23A0">
        <w:rPr>
          <w:rFonts w:cs="Arial"/>
          <w:lang w:val="sr-Cyrl-CS"/>
        </w:rPr>
        <w:t xml:space="preserve">= 13. У подацима о триглицеридима друго запажање, које одговара </w:t>
      </w:r>
      <w:r w:rsidRPr="00CE23A0">
        <w:rPr>
          <w:rFonts w:cs="Arial"/>
          <w:i/>
          <w:lang w:val="sr-Cyrl-CS"/>
        </w:rPr>
        <w:t xml:space="preserve">ј </w:t>
      </w:r>
      <w:r w:rsidRPr="00CE23A0">
        <w:rPr>
          <w:rFonts w:cs="Arial"/>
          <w:lang w:val="sr-Cyrl-CS"/>
        </w:rPr>
        <w:t xml:space="preserve">= 2, је 0.16, а </w:t>
      </w:r>
      <w:r>
        <w:rPr>
          <w:rFonts w:cs="Arial"/>
          <w:lang w:val="sr-Cyrl-CS"/>
        </w:rPr>
        <w:t>тринаесто</w:t>
      </w:r>
      <w:r w:rsidRPr="00CE23A0">
        <w:rPr>
          <w:rFonts w:cs="Arial"/>
          <w:lang w:val="sr-Cyrl-CS"/>
        </w:rPr>
        <w:t xml:space="preserve"> је 0.26. Тако 95% интервал поверења за доњу границу референце је 0.16 до 0.26. </w:t>
      </w:r>
      <w:r w:rsidRPr="0095267B">
        <w:rPr>
          <w:rFonts w:cs="Arial"/>
        </w:rPr>
        <w:t>O</w:t>
      </w:r>
      <w:r w:rsidRPr="00CE23A0">
        <w:rPr>
          <w:rFonts w:cs="Arial"/>
          <w:lang w:val="sr-Cyrl-CS"/>
        </w:rPr>
        <w:t>дговарајућ</w:t>
      </w:r>
      <w:r>
        <w:rPr>
          <w:rFonts w:cs="Arial"/>
          <w:lang w:val="sr-Cyrl-CS"/>
        </w:rPr>
        <w:t>е</w:t>
      </w:r>
      <w:r w:rsidRPr="00CE23A0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израчунавање</w:t>
      </w:r>
      <w:r w:rsidRPr="00CE23A0">
        <w:rPr>
          <w:rFonts w:cs="Arial"/>
          <w:lang w:val="sr-Cyrl-CS"/>
        </w:rPr>
        <w:t xml:space="preserve"> за </w:t>
      </w:r>
      <w:r w:rsidRPr="00830C79">
        <w:rPr>
          <w:rFonts w:cs="Arial"/>
          <w:position w:val="-10"/>
        </w:rPr>
        <w:object w:dxaOrig="940" w:dyaOrig="300">
          <v:shape id="_x0000_i1048" type="#_x0000_t75" style="width:47.25pt;height:15pt" o:ole="">
            <v:imagedata r:id="rId53" o:title=""/>
          </v:shape>
          <o:OLEObject Type="Embed" ProgID="Equation.3" ShapeID="_x0000_i1048" DrawAspect="Content" ObjectID="_1602947180" r:id="rId54"/>
        </w:object>
      </w:r>
      <w:r w:rsidRPr="00CE23A0">
        <w:rPr>
          <w:rFonts w:cs="Arial"/>
          <w:lang w:val="sr-Cyrl-CS"/>
        </w:rPr>
        <w:t xml:space="preserve">даје </w:t>
      </w:r>
      <w:r w:rsidRPr="00CE23A0">
        <w:rPr>
          <w:rFonts w:cs="Arial"/>
          <w:i/>
          <w:lang w:val="sr-Cyrl-CS"/>
        </w:rPr>
        <w:t>ј</w:t>
      </w:r>
      <w:r w:rsidRPr="00CE23A0">
        <w:rPr>
          <w:rFonts w:cs="Arial"/>
          <w:lang w:val="sr-Cyrl-CS"/>
        </w:rPr>
        <w:t xml:space="preserve"> = 270 и </w:t>
      </w:r>
      <w:r w:rsidRPr="000C6780">
        <w:rPr>
          <w:rFonts w:cs="Arial"/>
          <w:i/>
          <w:iCs/>
          <w:color w:val="0A0905"/>
          <w:lang w:val="sr-Latn-CS" w:eastAsia="sr-Latn-CS"/>
        </w:rPr>
        <w:t>k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CE23A0">
        <w:rPr>
          <w:rFonts w:cs="Arial"/>
          <w:lang w:val="sr-Cyrl-CS"/>
        </w:rPr>
        <w:t>= 281. 270</w:t>
      </w:r>
      <w:r>
        <w:rPr>
          <w:rFonts w:cs="Arial"/>
          <w:lang w:val="sr-Cyrl-CS"/>
        </w:rPr>
        <w:t>-то</w:t>
      </w:r>
      <w:r w:rsidRPr="00CE23A0">
        <w:rPr>
          <w:rFonts w:cs="Arial"/>
          <w:lang w:val="sr-Cyrl-CS"/>
        </w:rPr>
        <w:t xml:space="preserve"> запажање је 0.96, а 281 је 1.64, што даје 95% интервал поверења за горње границе референце од 0.96 до 1.64. </w:t>
      </w:r>
      <w:r w:rsidRPr="0095267B">
        <w:rPr>
          <w:rFonts w:cs="Arial"/>
        </w:rPr>
        <w:t>O</w:t>
      </w:r>
      <w:r w:rsidRPr="00CE23A0">
        <w:rPr>
          <w:rFonts w:cs="Arial"/>
          <w:lang w:val="sr-Cyrl-CS"/>
        </w:rPr>
        <w:t xml:space="preserve">во су шири интервали поверења од оних </w:t>
      </w:r>
      <w:r>
        <w:rPr>
          <w:rFonts w:cs="Arial"/>
          <w:lang w:val="sr-Cyrl-CS"/>
        </w:rPr>
        <w:t>про</w:t>
      </w:r>
      <w:r w:rsidRPr="00CE23A0">
        <w:rPr>
          <w:rFonts w:cs="Arial"/>
          <w:lang w:val="sr-Cyrl-CS"/>
        </w:rPr>
        <w:t xml:space="preserve">нађених помоћу Нормалне методе, </w:t>
      </w:r>
      <w:r>
        <w:rPr>
          <w:rFonts w:cs="Arial"/>
          <w:lang w:val="sr-Cyrl-CS"/>
        </w:rPr>
        <w:t xml:space="preserve">посебно </w:t>
      </w:r>
      <w:r w:rsidRPr="00CE23A0">
        <w:rPr>
          <w:rFonts w:cs="Arial"/>
          <w:lang w:val="sr-Cyrl-CS"/>
        </w:rPr>
        <w:t xml:space="preserve">оних за дуги задњи део. </w:t>
      </w:r>
      <w:r w:rsidRPr="0095267B">
        <w:rPr>
          <w:rFonts w:cs="Arial"/>
        </w:rPr>
        <w:t>O</w:t>
      </w:r>
      <w:r w:rsidRPr="00CE23A0">
        <w:rPr>
          <w:rFonts w:cs="Arial"/>
          <w:lang w:val="sr-Cyrl-CS"/>
        </w:rPr>
        <w:t xml:space="preserve">вај метод процене </w:t>
      </w:r>
      <w:r>
        <w:rPr>
          <w:rFonts w:cs="Arial"/>
          <w:lang w:val="sr-Cyrl-CS"/>
        </w:rPr>
        <w:t>процената</w:t>
      </w:r>
      <w:r w:rsidRPr="00CE23A0">
        <w:rPr>
          <w:rFonts w:cs="Arial"/>
          <w:lang w:val="sr-Cyrl-CS"/>
        </w:rPr>
        <w:t xml:space="preserve"> у дугим задњим деловима је релативно непрецизан.</w:t>
      </w:r>
    </w:p>
    <w:p w:rsidR="003E3CC3" w:rsidRPr="008320CE" w:rsidRDefault="003E3CC3" w:rsidP="003E3CC3">
      <w:pPr>
        <w:pStyle w:val="Heading2"/>
        <w:spacing w:before="360"/>
        <w:rPr>
          <w:lang w:val="it-IT" w:eastAsia="sr-Latn-CS"/>
        </w:rPr>
      </w:pPr>
      <w:bookmarkStart w:id="14" w:name="_Toc261679013"/>
      <w:bookmarkStart w:id="15" w:name="_Toc465612086"/>
      <w:bookmarkStart w:id="16" w:name="_Toc529204148"/>
      <w:r w:rsidRPr="008320CE">
        <w:rPr>
          <w:lang w:val="it-IT" w:eastAsia="sr-Latn-CS"/>
        </w:rPr>
        <w:t>1</w:t>
      </w:r>
      <w:r w:rsidRPr="008320CE">
        <w:rPr>
          <w:lang w:val="sr-Cyrl-CS" w:eastAsia="sr-Latn-CS"/>
        </w:rPr>
        <w:t>2</w:t>
      </w:r>
      <w:r w:rsidRPr="008320CE">
        <w:rPr>
          <w:lang w:val="it-IT" w:eastAsia="sr-Latn-CS"/>
        </w:rPr>
        <w:t xml:space="preserve"> </w:t>
      </w:r>
      <w:bookmarkEnd w:id="14"/>
      <w:r w:rsidRPr="008320CE">
        <w:rPr>
          <w:lang w:eastAsia="sr-Latn-CS"/>
        </w:rPr>
        <w:t>Статистике</w:t>
      </w:r>
      <w:r w:rsidRPr="008320CE">
        <w:rPr>
          <w:lang w:val="it-IT" w:eastAsia="sr-Latn-CS"/>
        </w:rPr>
        <w:t xml:space="preserve"> </w:t>
      </w:r>
      <w:r w:rsidRPr="008320CE">
        <w:rPr>
          <w:lang w:eastAsia="sr-Latn-CS"/>
        </w:rPr>
        <w:t>морталитета</w:t>
      </w:r>
      <w:bookmarkEnd w:id="15"/>
      <w:bookmarkEnd w:id="16"/>
    </w:p>
    <w:p w:rsidR="003E3CC3" w:rsidRPr="000D1D7B" w:rsidRDefault="003E3CC3" w:rsidP="003E3CC3">
      <w:pPr>
        <w:pStyle w:val="Heading3"/>
        <w:spacing w:before="120"/>
        <w:rPr>
          <w:lang w:val="it-IT" w:eastAsia="sr-Latn-CS"/>
        </w:rPr>
      </w:pPr>
      <w:bookmarkStart w:id="17" w:name="_Toc261679014"/>
      <w:bookmarkStart w:id="18" w:name="_Toc465612087"/>
      <w:bookmarkStart w:id="19" w:name="_Toc529204149"/>
      <w:r>
        <w:rPr>
          <w:lang w:val="it-IT" w:eastAsia="sr-Latn-CS"/>
        </w:rPr>
        <w:t>12.</w:t>
      </w:r>
      <w:r w:rsidRPr="000D1D7B">
        <w:rPr>
          <w:lang w:val="it-IT" w:eastAsia="sr-Latn-CS"/>
        </w:rPr>
        <w:t xml:space="preserve">1 </w:t>
      </w:r>
      <w:bookmarkEnd w:id="17"/>
      <w:r w:rsidRPr="00C2031F">
        <w:rPr>
          <w:lang w:eastAsia="sr-Latn-CS"/>
        </w:rPr>
        <w:t>Стопе</w:t>
      </w:r>
      <w:r w:rsidRPr="000D1D7B">
        <w:rPr>
          <w:lang w:val="it-IT" w:eastAsia="sr-Latn-CS"/>
        </w:rPr>
        <w:t xml:space="preserve"> </w:t>
      </w:r>
      <w:r w:rsidRPr="00C2031F">
        <w:rPr>
          <w:lang w:eastAsia="sr-Latn-CS"/>
        </w:rPr>
        <w:t>морталитета</w:t>
      </w:r>
      <w:bookmarkEnd w:id="18"/>
      <w:bookmarkEnd w:id="19"/>
    </w:p>
    <w:p w:rsidR="003E3CC3" w:rsidRDefault="003E3CC3" w:rsidP="003E3CC3">
      <w:pPr>
        <w:spacing w:before="0"/>
        <w:rPr>
          <w:rFonts w:cs="Arial"/>
          <w:lang w:val="sr-Cyrl-CS"/>
        </w:rPr>
      </w:pPr>
      <w:r>
        <w:rPr>
          <w:rFonts w:cs="Arial"/>
          <w:lang w:val="it-IT"/>
        </w:rPr>
        <w:t>Статистике</w:t>
      </w:r>
      <w:r w:rsidRPr="0095267B">
        <w:rPr>
          <w:rFonts w:cs="Arial"/>
          <w:lang w:val="it-IT"/>
        </w:rPr>
        <w:t xml:space="preserve"> 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</w:t>
      </w:r>
      <w:r>
        <w:rPr>
          <w:rFonts w:cs="Arial"/>
          <w:lang w:val="sr-Cyrl-CS"/>
        </w:rPr>
        <w:t>а</w:t>
      </w:r>
      <w:r>
        <w:rPr>
          <w:rFonts w:cs="Arial"/>
          <w:lang w:val="it-IT"/>
        </w:rPr>
        <w:t>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главних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извора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информација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узроцима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мењају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унутар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земље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</w:t>
      </w:r>
      <w:r>
        <w:rPr>
          <w:rFonts w:cs="Arial"/>
          <w:lang w:val="sr-Cyrl-CS"/>
        </w:rPr>
        <w:t>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земаља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већини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развијених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земаља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потврђена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лекара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записује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узрок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датум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време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преминулом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Британији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овоме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још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додаје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датум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рођења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област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покојник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ж</w:t>
      </w:r>
      <w:r>
        <w:rPr>
          <w:rFonts w:cs="Arial"/>
          <w:lang w:val="it-IT"/>
        </w:rPr>
        <w:t>ивео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његово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занимање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умрлице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чине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сирови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матери</w:t>
      </w:r>
      <w:r>
        <w:rPr>
          <w:rFonts w:cs="Arial"/>
          <w:lang w:val="sr-Cyrl-CS"/>
        </w:rPr>
        <w:t>ј</w:t>
      </w:r>
      <w:r>
        <w:rPr>
          <w:rFonts w:cs="Arial"/>
          <w:lang w:val="it-IT"/>
        </w:rPr>
        <w:t>ал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ког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састављају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националне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канцеларије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пописе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Британији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Канцеларија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националну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статистику</w:t>
      </w:r>
      <w:r>
        <w:rPr>
          <w:rFonts w:cs="Arial"/>
          <w:lang w:val="sr-Cyrl-CS"/>
        </w:rPr>
        <w:t xml:space="preserve"> (</w:t>
      </w:r>
      <w:r w:rsidRPr="006915F0">
        <w:rPr>
          <w:rFonts w:cs="Arial"/>
          <w:i/>
          <w:color w:val="0A0905"/>
          <w:lang w:val="sr-Latn-CS" w:eastAsia="sr-Latn-CS"/>
        </w:rPr>
        <w:t>Office for National Statistics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sr-Cyrl-CS"/>
        </w:rPr>
        <w:t>С</w:t>
      </w:r>
      <w:r>
        <w:rPr>
          <w:rFonts w:cs="Arial"/>
          <w:lang w:val="it-IT"/>
        </w:rPr>
        <w:t>мртни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</w:t>
      </w:r>
      <w:r>
        <w:rPr>
          <w:rFonts w:cs="Arial"/>
          <w:lang w:val="sr-Cyrl-CS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</w:t>
      </w:r>
      <w:r>
        <w:rPr>
          <w:rFonts w:cs="Arial"/>
          <w:lang w:val="sr-Cyrl-CS"/>
        </w:rPr>
        <w:t>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сврстати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узроку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полу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годинама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врстама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занимања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области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становања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брачном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стању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2</w:t>
      </w:r>
      <w:r w:rsidRPr="0095267B">
        <w:rPr>
          <w:rFonts w:cs="Arial"/>
          <w:lang w:val="it-IT"/>
        </w:rPr>
        <w:t xml:space="preserve">.1 </w:t>
      </w:r>
      <w:r>
        <w:rPr>
          <w:rFonts w:cs="Arial"/>
          <w:lang w:val="it-IT"/>
        </w:rPr>
        <w:t>показује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табелирање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узроку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полу</w:t>
      </w:r>
      <w:r w:rsidRPr="0095267B">
        <w:rPr>
          <w:rFonts w:cs="Arial"/>
          <w:lang w:val="it-IT"/>
        </w:rPr>
        <w:t>.</w:t>
      </w:r>
    </w:p>
    <w:p w:rsidR="003E3CC3" w:rsidRDefault="003E3CC3" w:rsidP="003E3CC3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потребе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поре</w:t>
      </w:r>
      <w:r>
        <w:rPr>
          <w:rFonts w:cs="Arial"/>
          <w:lang w:val="sr-Cyrl-CS"/>
        </w:rPr>
        <w:t>ђ</w:t>
      </w:r>
      <w:r>
        <w:rPr>
          <w:rFonts w:cs="Arial"/>
          <w:lang w:val="it-IT"/>
        </w:rPr>
        <w:t>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</w:t>
      </w:r>
      <w:r>
        <w:rPr>
          <w:rFonts w:cs="Arial"/>
          <w:lang w:val="sr-Cyrl-CS"/>
        </w:rPr>
        <w:t>ж</w:t>
      </w:r>
      <w:r>
        <w:rPr>
          <w:rFonts w:cs="Arial"/>
          <w:lang w:val="it-IT"/>
        </w:rPr>
        <w:t>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</w:t>
      </w:r>
      <w:r>
        <w:rPr>
          <w:rFonts w:cs="Arial"/>
          <w:lang w:val="sr-Cyrl-CS"/>
        </w:rPr>
        <w:t>н</w:t>
      </w:r>
      <w:r>
        <w:rPr>
          <w:rFonts w:cs="Arial"/>
          <w:lang w:val="it-IT"/>
        </w:rPr>
        <w:t>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популације (становника)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</w:t>
      </w:r>
      <w:r>
        <w:rPr>
          <w:rFonts w:cs="Arial"/>
          <w:lang w:val="sr-Cyrl-CS"/>
        </w:rPr>
        <w:t>јој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</w:t>
      </w:r>
      <w:r>
        <w:rPr>
          <w:rFonts w:cs="Arial"/>
          <w:lang w:val="sr-Cyrl-CS"/>
        </w:rPr>
        <w:t>ш</w:t>
      </w:r>
      <w:r>
        <w:rPr>
          <w:rFonts w:cs="Arial"/>
          <w:lang w:val="it-IT"/>
        </w:rPr>
        <w:t>авају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Имамо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информацију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потпуности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ослања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интервале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10 </w:t>
      </w:r>
      <w:r>
        <w:rPr>
          <w:rFonts w:cs="Arial"/>
          <w:lang w:val="it-IT"/>
        </w:rPr>
        <w:t>година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десетогодишњег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пописа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становништва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земљи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 xml:space="preserve">годиште и </w:t>
      </w:r>
      <w:r>
        <w:rPr>
          <w:rFonts w:cs="Arial"/>
          <w:lang w:val="it-IT"/>
        </w:rPr>
        <w:t>пол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</w:t>
      </w:r>
      <w:r>
        <w:rPr>
          <w:rFonts w:cs="Arial"/>
          <w:lang w:val="sr-Cyrl-CS"/>
        </w:rPr>
        <w:t>ђ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пописа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помоћ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регистрације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датума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ро</w:t>
      </w:r>
      <w:r>
        <w:rPr>
          <w:rFonts w:cs="Arial"/>
          <w:lang w:val="sr-Cyrl-CS"/>
        </w:rPr>
        <w:t>ђ</w:t>
      </w:r>
      <w:r>
        <w:rPr>
          <w:rFonts w:cs="Arial"/>
          <w:lang w:val="it-IT"/>
        </w:rPr>
        <w:t>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Сваки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датум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рођења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забележен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звани</w:t>
      </w:r>
      <w:r>
        <w:rPr>
          <w:rFonts w:cs="Arial"/>
          <w:lang w:val="sr-Cyrl-CS"/>
        </w:rPr>
        <w:t>ч</w:t>
      </w:r>
      <w:r>
        <w:rPr>
          <w:rFonts w:cs="Arial"/>
          <w:lang w:val="it-IT"/>
        </w:rPr>
        <w:t>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регистар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пратимо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Постоје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промене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дешавале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слабије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документоване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ш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имиграција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емиграција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ш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пописа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оквирне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Неке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ш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људи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различитим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занимањ</w:t>
      </w:r>
      <w:r>
        <w:rPr>
          <w:rFonts w:cs="Arial"/>
          <w:lang w:val="sr-Cyrl-CS"/>
        </w:rPr>
        <w:t>има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потпуно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непоуздане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стављени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због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пописа</w:t>
      </w:r>
      <w:r w:rsidRPr="0095267B">
        <w:rPr>
          <w:rFonts w:cs="Arial"/>
          <w:lang w:val="it-IT"/>
        </w:rPr>
        <w:t>.</w:t>
      </w:r>
    </w:p>
    <w:p w:rsidR="003E3CC3" w:rsidRPr="0095267B" w:rsidRDefault="003E3CC3" w:rsidP="003E3CC3">
      <w:pPr>
        <w:spacing w:before="0"/>
        <w:ind w:firstLine="720"/>
        <w:rPr>
          <w:rFonts w:cs="Arial"/>
          <w:lang w:val="it-IT"/>
        </w:rPr>
      </w:pP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узмемо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временском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периоду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становника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временским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периодом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добијамо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стопу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јединици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времена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особи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узимамо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периоду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календарске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мада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узети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периоду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неколико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повећамо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прецизност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бројања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непрестано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 xml:space="preserve">и </w:t>
      </w:r>
      <w:r>
        <w:rPr>
          <w:rFonts w:cs="Arial"/>
          <w:lang w:val="it-IT"/>
        </w:rPr>
        <w:t>узимамо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заједнички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именитељ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процењен</w:t>
      </w:r>
      <w:r>
        <w:rPr>
          <w:rFonts w:cs="Arial"/>
          <w:lang w:val="sr-Cyrl-CS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</w:t>
      </w:r>
      <w:r>
        <w:rPr>
          <w:rFonts w:cs="Arial"/>
          <w:lang w:val="sr-Cyrl-CS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средњој</w:t>
      </w:r>
      <w:r>
        <w:rPr>
          <w:rFonts w:cs="Arial"/>
          <w:lang w:val="sr-Cyrl-CS"/>
        </w:rPr>
        <w:t>-</w:t>
      </w:r>
      <w:r>
        <w:rPr>
          <w:rFonts w:cs="Arial"/>
          <w:lang w:val="it-IT"/>
        </w:rPr>
        <w:t>тачки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временског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периода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Стопе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бројеви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множимо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константом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ш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100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100 000,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избегао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децималне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тачке</w:t>
      </w:r>
      <w:r w:rsidRPr="0095267B">
        <w:rPr>
          <w:rFonts w:cs="Arial"/>
          <w:lang w:val="it-IT"/>
        </w:rPr>
        <w:t>.</w:t>
      </w:r>
    </w:p>
    <w:p w:rsidR="003E3CC3" w:rsidRDefault="003E3CC3" w:rsidP="003E3CC3">
      <w:pPr>
        <w:spacing w:before="0" w:after="12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бавимо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целе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без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обзира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стопа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добијемо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зове</w:t>
      </w:r>
      <w:r w:rsidRPr="00B56FF0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сирова</w:t>
      </w:r>
      <w:r w:rsidRPr="0095267B">
        <w:rPr>
          <w:rFonts w:cs="Arial"/>
          <w:b/>
          <w:lang w:val="it-IT"/>
        </w:rPr>
        <w:t xml:space="preserve"> </w:t>
      </w:r>
      <w:r>
        <w:rPr>
          <w:rFonts w:cs="Arial"/>
          <w:b/>
          <w:lang w:val="it-IT"/>
        </w:rPr>
        <w:t>стопа</w:t>
      </w:r>
      <w:r w:rsidRPr="0095267B">
        <w:rPr>
          <w:rFonts w:cs="Arial"/>
          <w:b/>
          <w:lang w:val="it-IT"/>
        </w:rPr>
        <w:t xml:space="preserve"> </w:t>
      </w:r>
      <w:r>
        <w:rPr>
          <w:rFonts w:cs="Arial"/>
          <w:b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crude mortality rate</w:t>
      </w:r>
      <w:r>
        <w:rPr>
          <w:rFonts w:cs="Arial"/>
          <w:lang w:val="sr-Cyrl-CS"/>
        </w:rPr>
        <w:t xml:space="preserve">)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сирова</w:t>
      </w:r>
      <w:r w:rsidRPr="0095267B">
        <w:rPr>
          <w:rFonts w:cs="Arial"/>
          <w:b/>
          <w:lang w:val="it-IT"/>
        </w:rPr>
        <w:t xml:space="preserve"> </w:t>
      </w:r>
      <w:r>
        <w:rPr>
          <w:rFonts w:cs="Arial"/>
          <w:b/>
          <w:lang w:val="it-IT"/>
        </w:rPr>
        <w:t>стопа</w:t>
      </w:r>
      <w:r w:rsidRPr="0095267B">
        <w:rPr>
          <w:rFonts w:cs="Arial"/>
          <w:b/>
          <w:lang w:val="it-IT"/>
        </w:rPr>
        <w:t xml:space="preserve"> </w:t>
      </w:r>
      <w:r>
        <w:rPr>
          <w:rFonts w:cs="Arial"/>
          <w:b/>
          <w:lang w:val="it-IT"/>
        </w:rPr>
        <w:t>смрт</w:t>
      </w:r>
      <w:r>
        <w:rPr>
          <w:rFonts w:cs="Arial"/>
          <w:b/>
          <w:lang w:val="sr-Cyrl-CS"/>
        </w:rPr>
        <w:t>ности</w:t>
      </w:r>
      <w:r>
        <w:rPr>
          <w:rFonts w:cs="Arial"/>
          <w:lang w:val="sr-Cyrl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crude death rate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Термини</w:t>
      </w:r>
      <w:r w:rsidRPr="0095267B">
        <w:rPr>
          <w:rFonts w:cs="Arial"/>
          <w:lang w:val="it-IT"/>
        </w:rPr>
        <w:t xml:space="preserve"> “</w:t>
      </w:r>
      <w:r>
        <w:rPr>
          <w:rFonts w:cs="Arial"/>
          <w:lang w:val="it-IT"/>
        </w:rPr>
        <w:t>стопа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</w:t>
      </w:r>
      <w:r>
        <w:rPr>
          <w:rFonts w:cs="Arial"/>
          <w:lang w:val="sr-Cyrl-CS"/>
        </w:rPr>
        <w:t>ности</w:t>
      </w:r>
      <w:r w:rsidRPr="0095267B">
        <w:rPr>
          <w:rFonts w:cs="Arial"/>
          <w:lang w:val="it-IT"/>
        </w:rPr>
        <w:t xml:space="preserve">”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“</w:t>
      </w:r>
      <w:r>
        <w:rPr>
          <w:rFonts w:cs="Arial"/>
          <w:lang w:val="it-IT"/>
        </w:rPr>
        <w:t>стопа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”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ч</w:t>
      </w:r>
      <w:r>
        <w:rPr>
          <w:rFonts w:cs="Arial"/>
          <w:lang w:val="it-IT"/>
        </w:rPr>
        <w:t>есто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замењују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приликом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</w:t>
      </w:r>
      <w:r w:rsidRPr="000D1D7B">
        <w:rPr>
          <w:rFonts w:cs="Arial"/>
          <w:lang w:val="sr-Cyrl-CS"/>
        </w:rPr>
        <w:t>ришће</w:t>
      </w:r>
      <w:r>
        <w:rPr>
          <w:rFonts w:cs="Arial"/>
          <w:lang w:val="it-IT"/>
        </w:rPr>
        <w:t>ња</w:t>
      </w:r>
      <w:r w:rsidRPr="0095267B">
        <w:rPr>
          <w:rFonts w:cs="Arial"/>
          <w:lang w:val="it-IT"/>
        </w:rPr>
        <w:t xml:space="preserve">.  </w:t>
      </w:r>
      <w:r>
        <w:rPr>
          <w:rFonts w:cs="Arial"/>
          <w:lang w:val="it-IT"/>
        </w:rPr>
        <w:t>Сирову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стопу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израчунавамо </w:t>
      </w:r>
      <w:r>
        <w:rPr>
          <w:rFonts w:cs="Arial"/>
          <w:lang w:val="it-IT"/>
        </w:rPr>
        <w:t>као</w:t>
      </w:r>
      <w:r>
        <w:rPr>
          <w:rFonts w:cs="Arial"/>
          <w:lang w:val="sr-Cyrl-CS"/>
        </w:rPr>
        <w:t>:</w:t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6237"/>
        <w:gridCol w:w="316"/>
        <w:gridCol w:w="677"/>
      </w:tblGrid>
      <w:tr w:rsidR="003E3CC3" w:rsidTr="003E3CC3">
        <w:tc>
          <w:tcPr>
            <w:tcW w:w="6237" w:type="dxa"/>
            <w:tcBorders>
              <w:bottom w:val="single" w:sz="4" w:space="0" w:color="auto"/>
            </w:tcBorders>
          </w:tcPr>
          <w:p w:rsidR="003E3CC3" w:rsidRDefault="003E3CC3" w:rsidP="003E3CC3">
            <w:pPr>
              <w:spacing w:before="0"/>
              <w:jc w:val="center"/>
              <w:rPr>
                <w:rFonts w:cs="Arial"/>
                <w:lang w:val="sr-Cyrl-CS"/>
              </w:rPr>
            </w:pPr>
            <w:r w:rsidRPr="004F73AA">
              <w:rPr>
                <w:rFonts w:cs="Arial"/>
                <w:lang w:val="it-IT"/>
              </w:rPr>
              <w:t>смрт у одре</w:t>
            </w:r>
            <w:r w:rsidRPr="004F73AA">
              <w:rPr>
                <w:rFonts w:cs="Arial"/>
                <w:lang w:val="sr-Cyrl-CS"/>
              </w:rPr>
              <w:t>ђ</w:t>
            </w:r>
            <w:r w:rsidRPr="004F73AA">
              <w:rPr>
                <w:rFonts w:cs="Arial"/>
                <w:lang w:val="it-IT"/>
              </w:rPr>
              <w:t>еном временском периоду</w:t>
            </w:r>
          </w:p>
        </w:tc>
        <w:tc>
          <w:tcPr>
            <w:tcW w:w="316" w:type="dxa"/>
            <w:vMerge w:val="restart"/>
            <w:vAlign w:val="center"/>
          </w:tcPr>
          <w:p w:rsidR="003E3CC3" w:rsidRPr="004F73AA" w:rsidRDefault="003E3CC3" w:rsidP="003E3CC3">
            <w:pPr>
              <w:spacing w:before="0"/>
              <w:jc w:val="center"/>
              <w:rPr>
                <w:rFonts w:cs="Arial"/>
                <w:lang w:val="sr-Cyrl-CS"/>
              </w:rPr>
            </w:pPr>
            <w:r w:rsidRPr="0095267B">
              <w:rPr>
                <w:rFonts w:cs="Arial"/>
                <w:lang w:val="it-IT"/>
              </w:rPr>
              <w:t>x</w:t>
            </w:r>
          </w:p>
        </w:tc>
        <w:tc>
          <w:tcPr>
            <w:tcW w:w="677" w:type="dxa"/>
            <w:vMerge w:val="restart"/>
            <w:vAlign w:val="center"/>
          </w:tcPr>
          <w:p w:rsidR="003E3CC3" w:rsidRDefault="003E3CC3" w:rsidP="003E3CC3">
            <w:pPr>
              <w:spacing w:before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1000</w:t>
            </w:r>
          </w:p>
        </w:tc>
      </w:tr>
      <w:tr w:rsidR="003E3CC3" w:rsidTr="003E3CC3">
        <w:tc>
          <w:tcPr>
            <w:tcW w:w="6237" w:type="dxa"/>
            <w:tcBorders>
              <w:top w:val="single" w:sz="4" w:space="0" w:color="auto"/>
            </w:tcBorders>
          </w:tcPr>
          <w:p w:rsidR="003E3CC3" w:rsidRPr="004F73AA" w:rsidRDefault="003E3CC3" w:rsidP="003E3CC3">
            <w:pPr>
              <w:spacing w:before="0"/>
              <w:jc w:val="center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број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популације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среди</w:t>
            </w:r>
            <w:r>
              <w:rPr>
                <w:rFonts w:cs="Arial"/>
                <w:lang w:val="sr-Cyrl-CS"/>
              </w:rPr>
              <w:t>ш</w:t>
            </w:r>
            <w:r>
              <w:rPr>
                <w:rFonts w:cs="Arial"/>
                <w:lang w:val="it-IT"/>
              </w:rPr>
              <w:t>њој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тачки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периода</w:t>
            </w:r>
            <w:r w:rsidRPr="0095267B">
              <w:rPr>
                <w:rFonts w:cs="Arial"/>
                <w:lang w:val="it-IT"/>
              </w:rPr>
              <w:t xml:space="preserve"> x </w:t>
            </w:r>
            <w:r>
              <w:rPr>
                <w:rFonts w:cs="Arial"/>
                <w:lang w:val="it-IT"/>
              </w:rPr>
              <w:t>дужина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периода</w:t>
            </w:r>
          </w:p>
        </w:tc>
        <w:tc>
          <w:tcPr>
            <w:tcW w:w="316" w:type="dxa"/>
            <w:vMerge/>
          </w:tcPr>
          <w:p w:rsidR="003E3CC3" w:rsidRDefault="003E3CC3" w:rsidP="003E3CC3">
            <w:pPr>
              <w:spacing w:before="0"/>
              <w:rPr>
                <w:rFonts w:cs="Arial"/>
                <w:lang w:val="sr-Cyrl-CS"/>
              </w:rPr>
            </w:pPr>
          </w:p>
        </w:tc>
        <w:tc>
          <w:tcPr>
            <w:tcW w:w="677" w:type="dxa"/>
            <w:vMerge/>
          </w:tcPr>
          <w:p w:rsidR="003E3CC3" w:rsidRDefault="003E3CC3" w:rsidP="003E3CC3">
            <w:pPr>
              <w:spacing w:before="0"/>
              <w:rPr>
                <w:rFonts w:cs="Arial"/>
                <w:lang w:val="sr-Cyrl-CS"/>
              </w:rPr>
            </w:pPr>
          </w:p>
        </w:tc>
      </w:tr>
    </w:tbl>
    <w:p w:rsidR="003E3CC3" w:rsidRDefault="003E3CC3" w:rsidP="003E3CC3">
      <w:pPr>
        <w:spacing w:before="0"/>
        <w:ind w:firstLine="720"/>
        <w:rPr>
          <w:rFonts w:cs="Arial"/>
          <w:lang w:val="sr-Cyrl-CS"/>
        </w:rPr>
      </w:pPr>
    </w:p>
    <w:p w:rsidR="003E3CC3" w:rsidRDefault="003E3CC3" w:rsidP="003E3CC3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период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годинама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сирову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стопу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број </w:t>
      </w:r>
      <w:r>
        <w:rPr>
          <w:rFonts w:cs="Arial"/>
          <w:lang w:val="it-IT"/>
        </w:rPr>
        <w:t>смртни</w:t>
      </w:r>
      <w:r>
        <w:rPr>
          <w:rFonts w:cs="Arial"/>
          <w:lang w:val="sr-Cyrl-CS"/>
        </w:rPr>
        <w:t>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случајев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</w:t>
      </w:r>
      <w:r w:rsidRPr="0095267B">
        <w:rPr>
          <w:rFonts w:cs="Arial"/>
          <w:lang w:val="it-IT"/>
        </w:rPr>
        <w:t xml:space="preserve"> 1000 </w:t>
      </w:r>
      <w:r>
        <w:rPr>
          <w:rFonts w:cs="Arial"/>
          <w:lang w:val="it-IT"/>
        </w:rPr>
        <w:t>људи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години</w:t>
      </w:r>
      <w:r w:rsidRPr="0095267B">
        <w:rPr>
          <w:rFonts w:cs="Arial"/>
          <w:lang w:val="it-IT"/>
        </w:rPr>
        <w:t>.</w:t>
      </w:r>
    </w:p>
    <w:p w:rsidR="003E3CC3" w:rsidRPr="00260259" w:rsidRDefault="003E3CC3" w:rsidP="003E3CC3">
      <w:pPr>
        <w:spacing w:before="0" w:after="12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Сирова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стопа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</w:t>
      </w:r>
      <w:r>
        <w:rPr>
          <w:rFonts w:cs="Arial"/>
          <w:lang w:val="sr-Cyrl-CS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обзир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старосне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поређењ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</w:t>
      </w:r>
      <w:r>
        <w:rPr>
          <w:rFonts w:cs="Arial"/>
          <w:lang w:val="sr-Cyrl-CS"/>
        </w:rPr>
        <w:t>ч</w:t>
      </w:r>
      <w:r>
        <w:rPr>
          <w:rFonts w:cs="Arial"/>
          <w:lang w:val="it-IT"/>
        </w:rPr>
        <w:t>итим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структурама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старосне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1901 </w:t>
      </w:r>
      <w:r>
        <w:rPr>
          <w:rFonts w:cs="Arial"/>
          <w:lang w:val="it-IT"/>
        </w:rPr>
        <w:t>сирова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стопа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мушкараца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it-IT"/>
        </w:rPr>
        <w:t>преко</w:t>
      </w:r>
      <w:r w:rsidRPr="0095267B">
        <w:rPr>
          <w:rFonts w:cs="Arial"/>
          <w:lang w:val="it-IT"/>
        </w:rPr>
        <w:t xml:space="preserve"> 15 </w:t>
      </w:r>
      <w:r>
        <w:rPr>
          <w:rFonts w:cs="Arial"/>
          <w:lang w:val="it-IT"/>
        </w:rPr>
        <w:t>година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старости</w:t>
      </w:r>
      <w:r w:rsidRPr="0095267B">
        <w:rPr>
          <w:rFonts w:cs="Arial"/>
          <w:lang w:val="it-IT"/>
        </w:rPr>
        <w:t xml:space="preserve">)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Енглеској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15.7 </w:t>
      </w:r>
      <w:r>
        <w:rPr>
          <w:rFonts w:cs="Arial"/>
          <w:lang w:val="sr-Cyrl-CS"/>
        </w:rPr>
        <w:t>по</w:t>
      </w:r>
      <w:r w:rsidRPr="0095267B">
        <w:rPr>
          <w:rFonts w:cs="Arial"/>
          <w:lang w:val="it-IT"/>
        </w:rPr>
        <w:t xml:space="preserve"> 1000 </w:t>
      </w:r>
      <w:r>
        <w:rPr>
          <w:rFonts w:cs="Arial"/>
          <w:lang w:val="it-IT"/>
        </w:rPr>
        <w:t>по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1981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14.8 </w:t>
      </w:r>
      <w:r>
        <w:rPr>
          <w:rFonts w:cs="Arial"/>
          <w:lang w:val="sr-Cyrl-CS"/>
        </w:rPr>
        <w:t>по</w:t>
      </w:r>
      <w:r w:rsidRPr="0095267B">
        <w:rPr>
          <w:rFonts w:cs="Arial"/>
          <w:lang w:val="it-IT"/>
        </w:rPr>
        <w:t xml:space="preserve"> 1000 </w:t>
      </w:r>
      <w:r>
        <w:rPr>
          <w:rFonts w:cs="Arial"/>
          <w:lang w:val="it-IT"/>
        </w:rPr>
        <w:t>по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Необично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упркос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развоју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медицине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побољшању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квалитета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ж</w:t>
      </w:r>
      <w:r>
        <w:rPr>
          <w:rFonts w:cs="Arial"/>
          <w:lang w:val="it-IT"/>
        </w:rPr>
        <w:t>ивота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исхране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периода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сирова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стопа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смањила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би </w:t>
      </w:r>
      <w:r>
        <w:rPr>
          <w:rFonts w:cs="Arial"/>
          <w:lang w:val="it-IT"/>
        </w:rPr>
        <w:t>вид</w:t>
      </w:r>
      <w:r>
        <w:rPr>
          <w:rFonts w:cs="Arial"/>
          <w:lang w:val="sr-Cyrl-CS"/>
        </w:rPr>
        <w:t>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није било значајних побољшања </w:t>
      </w:r>
      <w:r>
        <w:rPr>
          <w:rFonts w:cs="Arial"/>
          <w:lang w:val="it-IT"/>
        </w:rPr>
        <w:t>морамо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обраћати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</w:t>
      </w:r>
      <w:r>
        <w:rPr>
          <w:rFonts w:cs="Arial"/>
          <w:lang w:val="sr-Cyrl-CS"/>
        </w:rPr>
        <w:t>ж</w:t>
      </w:r>
      <w:r>
        <w:rPr>
          <w:rFonts w:cs="Arial"/>
          <w:lang w:val="it-IT"/>
        </w:rPr>
        <w:t>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 w:rsidRPr="00D7693B">
        <w:rPr>
          <w:rFonts w:cs="Arial"/>
          <w:b/>
          <w:lang w:val="it-IT"/>
        </w:rPr>
        <w:t>стопу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морталитета</w:t>
      </w:r>
      <w:r w:rsidRPr="0095267B">
        <w:rPr>
          <w:rFonts w:cs="Arial"/>
          <w:b/>
          <w:lang w:val="it-IT"/>
        </w:rPr>
        <w:t xml:space="preserve"> </w:t>
      </w:r>
      <w:r>
        <w:rPr>
          <w:rFonts w:cs="Arial"/>
          <w:b/>
          <w:lang w:val="it-IT"/>
        </w:rPr>
        <w:t>у</w:t>
      </w:r>
      <w:r w:rsidRPr="0095267B">
        <w:rPr>
          <w:rFonts w:cs="Arial"/>
          <w:b/>
          <w:lang w:val="it-IT"/>
        </w:rPr>
        <w:t xml:space="preserve"> </w:t>
      </w:r>
      <w:r>
        <w:rPr>
          <w:rFonts w:cs="Arial"/>
          <w:b/>
          <w:lang w:val="it-IT"/>
        </w:rPr>
        <w:t>специфи</w:t>
      </w:r>
      <w:r>
        <w:rPr>
          <w:rFonts w:cs="Arial"/>
          <w:b/>
          <w:lang w:val="sr-Cyrl-CS"/>
        </w:rPr>
        <w:t>ч</w:t>
      </w:r>
      <w:r>
        <w:rPr>
          <w:rFonts w:cs="Arial"/>
          <w:b/>
          <w:lang w:val="it-IT"/>
        </w:rPr>
        <w:t>ним</w:t>
      </w:r>
      <w:r w:rsidRPr="0095267B">
        <w:rPr>
          <w:rFonts w:cs="Arial"/>
          <w:b/>
          <w:lang w:val="it-IT"/>
        </w:rPr>
        <w:t xml:space="preserve"> </w:t>
      </w:r>
      <w:r>
        <w:rPr>
          <w:rFonts w:cs="Arial"/>
          <w:b/>
          <w:lang w:val="it-IT"/>
        </w:rPr>
        <w:t>годинама</w:t>
      </w:r>
      <w:r>
        <w:rPr>
          <w:rFonts w:cs="Arial"/>
          <w:lang w:val="sr-Cyrl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age-specific mortality rates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стопа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унутар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уских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старосне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Стопе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lastRenderedPageBreak/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рач</w:t>
      </w:r>
      <w:r>
        <w:rPr>
          <w:rFonts w:cs="Arial"/>
          <w:lang w:val="sr-Cyrl-CS"/>
        </w:rPr>
        <w:t>унају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старосне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пет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десет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1901 </w:t>
      </w:r>
      <w:r>
        <w:rPr>
          <w:rFonts w:cs="Arial"/>
          <w:lang w:val="it-IT"/>
        </w:rPr>
        <w:t>стопа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мушкараца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старосне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15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19 </w:t>
      </w:r>
      <w:r>
        <w:rPr>
          <w:rFonts w:cs="Arial"/>
          <w:lang w:val="sr-Cyrl-CS"/>
        </w:rPr>
        <w:t xml:space="preserve">година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је </w:t>
      </w:r>
      <w:r w:rsidRPr="0095267B">
        <w:rPr>
          <w:rFonts w:cs="Arial"/>
          <w:lang w:val="it-IT"/>
        </w:rPr>
        <w:t xml:space="preserve">3.5 </w:t>
      </w:r>
      <w:r>
        <w:rPr>
          <w:rFonts w:cs="Arial"/>
          <w:lang w:val="it-IT"/>
        </w:rPr>
        <w:t>смрти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</w:t>
      </w:r>
      <w:r w:rsidRPr="0095267B">
        <w:rPr>
          <w:rFonts w:cs="Arial"/>
          <w:lang w:val="it-IT"/>
        </w:rPr>
        <w:t xml:space="preserve"> 1000 </w:t>
      </w:r>
      <w:r>
        <w:rPr>
          <w:rFonts w:cs="Arial"/>
          <w:lang w:val="it-IT"/>
        </w:rPr>
        <w:t>по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док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1981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0.8.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ш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12.</w:t>
      </w:r>
      <w:r w:rsidRPr="0095267B">
        <w:rPr>
          <w:rFonts w:cs="Arial"/>
          <w:lang w:val="it-IT"/>
        </w:rPr>
        <w:t xml:space="preserve">1 </w:t>
      </w:r>
      <w:r>
        <w:rPr>
          <w:rFonts w:cs="Arial"/>
          <w:lang w:val="it-IT"/>
        </w:rPr>
        <w:t>показује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стопа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1901 </w:t>
      </w:r>
      <w:r>
        <w:rPr>
          <w:rFonts w:cs="Arial"/>
          <w:lang w:val="it-IT"/>
        </w:rPr>
        <w:t>години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1981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сваку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старосну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Међутим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1091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пропорција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млађе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где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низак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него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то било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1981. </w:t>
      </w:r>
      <w:r>
        <w:rPr>
          <w:rFonts w:cs="Arial"/>
          <w:lang w:val="it-IT"/>
        </w:rPr>
        <w:t>Сходно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томе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постојала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пропорција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у </w:t>
      </w:r>
      <w:r>
        <w:rPr>
          <w:rFonts w:cs="Arial"/>
          <w:lang w:val="it-IT"/>
        </w:rPr>
        <w:t>популациј</w:t>
      </w:r>
      <w:r>
        <w:rPr>
          <w:rFonts w:cs="Arial"/>
          <w:lang w:val="sr-Cyrl-CS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1901 </w:t>
      </w:r>
      <w:r>
        <w:rPr>
          <w:rFonts w:cs="Arial"/>
          <w:lang w:val="it-IT"/>
        </w:rPr>
        <w:t>него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1981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морталитетом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Иако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морталитет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старосној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1981, </w:t>
      </w:r>
      <w:r>
        <w:rPr>
          <w:rFonts w:cs="Arial"/>
          <w:lang w:val="it-IT"/>
        </w:rPr>
        <w:t>већа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пропорција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старијих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људи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</w:t>
      </w:r>
      <w:r>
        <w:rPr>
          <w:rFonts w:cs="Arial"/>
          <w:lang w:val="sr-Cyrl-CS"/>
        </w:rPr>
        <w:t>них случајева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скоро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у </w:t>
      </w:r>
      <w:r w:rsidRPr="0095267B">
        <w:rPr>
          <w:rFonts w:cs="Arial"/>
          <w:lang w:val="it-IT"/>
        </w:rPr>
        <w:t>1901.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3E3CC3" w:rsidRPr="000C6780" w:rsidTr="003E3CC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3E3CC3" w:rsidRPr="000439C2" w:rsidRDefault="003E3CC3" w:rsidP="003E3CC3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0439C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12.</w:t>
            </w:r>
            <w:r w:rsidRPr="000439C2">
              <w:rPr>
                <w:rFonts w:cs="Arial"/>
                <w:bCs/>
                <w:color w:val="0A0905"/>
                <w:lang w:val="sr-Latn-CS" w:eastAsia="sr-Latn-CS"/>
              </w:rPr>
              <w:t>1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0439C2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Стопе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морталитета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специфи</w:t>
            </w:r>
            <w:r>
              <w:rPr>
                <w:rFonts w:cs="Arial"/>
                <w:lang w:val="sr-Cyrl-CS"/>
              </w:rPr>
              <w:t>ч</w:t>
            </w:r>
            <w:r>
              <w:rPr>
                <w:rFonts w:cs="Arial"/>
                <w:lang w:val="it-IT"/>
              </w:rPr>
              <w:t>ним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годинама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расподела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старосне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доби</w:t>
            </w:r>
            <w:r w:rsidRPr="0095267B">
              <w:rPr>
                <w:rFonts w:cs="Arial"/>
                <w:lang w:val="it-IT"/>
              </w:rPr>
              <w:t xml:space="preserve">  </w:t>
            </w:r>
            <w:r>
              <w:rPr>
                <w:rFonts w:cs="Arial"/>
                <w:lang w:val="it-IT"/>
              </w:rPr>
              <w:t>одраслих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му</w:t>
            </w:r>
            <w:r>
              <w:rPr>
                <w:rFonts w:cs="Arial"/>
                <w:lang w:val="sr-Cyrl-CS"/>
              </w:rPr>
              <w:t>ш</w:t>
            </w:r>
            <w:r>
              <w:rPr>
                <w:rFonts w:cs="Arial"/>
                <w:lang w:val="it-IT"/>
              </w:rPr>
              <w:t>караца</w:t>
            </w:r>
            <w:r w:rsidRPr="0095267B">
              <w:rPr>
                <w:rFonts w:cs="Arial"/>
                <w:lang w:val="it-IT"/>
              </w:rPr>
              <w:t xml:space="preserve">,  </w:t>
            </w:r>
            <w:r>
              <w:rPr>
                <w:rFonts w:cs="Arial"/>
                <w:lang w:val="it-IT"/>
              </w:rPr>
              <w:t>Енглеска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Велс,</w:t>
            </w:r>
            <w:r w:rsidRPr="0095267B">
              <w:rPr>
                <w:rFonts w:cs="Arial"/>
                <w:lang w:val="it-IT"/>
              </w:rPr>
              <w:t xml:space="preserve"> 1901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1981</w:t>
            </w:r>
          </w:p>
        </w:tc>
      </w:tr>
      <w:tr w:rsidR="003E3CC3" w:rsidRPr="000C6780" w:rsidTr="003E3CC3">
        <w:trPr>
          <w:trHeight w:val="313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3"/>
              <w:gridCol w:w="2077"/>
              <w:gridCol w:w="2077"/>
              <w:gridCol w:w="1624"/>
              <w:gridCol w:w="1624"/>
            </w:tblGrid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3E3CC3" w:rsidRPr="00F7009D" w:rsidRDefault="003E3CC3" w:rsidP="003E3CC3">
                  <w:pPr>
                    <w:spacing w:before="0"/>
                    <w:jc w:val="left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Године старости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3E3CC3" w:rsidRPr="00F7009D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Година-специфична стопа смртности по 1000 по години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3E3CC3" w:rsidRPr="00F7009D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 w:rsidRPr="000439C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%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 Одрасле популације у старосној групи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gridSpan w:val="2"/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                              </w:t>
                  </w:r>
                  <w:r w:rsidRPr="000439C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1901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1981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1901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1981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  <w:r w:rsidRPr="000439C2">
                    <w:rPr>
                      <w:rFonts w:ascii="Symbol" w:hAnsi="Symbol" w:cs="Arial"/>
                      <w:color w:val="0A0905"/>
                      <w:lang w:val="sr-Latn-CS" w:eastAsia="sr-Latn-CS"/>
                    </w:rPr>
                    <w:t>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0.8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15.36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11.09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  <w:r w:rsidRPr="000439C2">
                    <w:rPr>
                      <w:rFonts w:ascii="Symbol" w:hAnsi="Symbol" w:cs="Arial"/>
                      <w:color w:val="0A0905"/>
                      <w:lang w:val="sr-Latn-CS" w:eastAsia="sr-Latn-CS"/>
                    </w:rPr>
                    <w:t>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0.8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14.07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9.75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  <w:r w:rsidRPr="000439C2">
                    <w:rPr>
                      <w:rFonts w:ascii="Symbol" w:hAnsi="Symbol" w:cs="Arial"/>
                      <w:color w:val="0A0905"/>
                      <w:lang w:val="sr-Latn-CS" w:eastAsia="sr-Latn-CS"/>
                    </w:rPr>
                    <w:t>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0.9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23.76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18.81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35</w:t>
                  </w:r>
                  <w:r w:rsidRPr="000439C2">
                    <w:rPr>
                      <w:rFonts w:ascii="Symbol" w:hAnsi="Symbol" w:cs="Arial"/>
                      <w:color w:val="0A0905"/>
                      <w:lang w:val="sr-Latn-CS" w:eastAsia="sr-Latn-CS"/>
                    </w:rPr>
                    <w:t>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18.46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15.99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45</w:t>
                  </w:r>
                  <w:r w:rsidRPr="000439C2">
                    <w:rPr>
                      <w:rFonts w:ascii="Symbol" w:hAnsi="Symbol" w:cs="Arial"/>
                      <w:color w:val="0A0905"/>
                      <w:lang w:val="sr-Latn-CS" w:eastAsia="sr-Latn-CS"/>
                    </w:rPr>
                    <w:t>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18.0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13.34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14.75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55</w:t>
                  </w:r>
                  <w:r w:rsidRPr="000439C2">
                    <w:rPr>
                      <w:rFonts w:ascii="Symbol" w:hAnsi="Symbol" w:cs="Arial"/>
                      <w:color w:val="0A0905"/>
                      <w:lang w:val="sr-Latn-CS" w:eastAsia="sr-Latn-CS"/>
                    </w:rPr>
                    <w:t>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33.5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17.7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8.68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14.04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65</w:t>
                  </w:r>
                  <w:r w:rsidRPr="000439C2">
                    <w:rPr>
                      <w:rFonts w:ascii="Symbol" w:hAnsi="Symbol" w:cs="Arial"/>
                      <w:color w:val="0A0905"/>
                      <w:lang w:val="sr-Latn-CS" w:eastAsia="sr-Latn-CS"/>
                    </w:rPr>
                    <w:t>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67.8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45.6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4.57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10.65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75</w:t>
                  </w:r>
                  <w:r w:rsidRPr="000439C2">
                    <w:rPr>
                      <w:rFonts w:ascii="Symbol" w:hAnsi="Symbol" w:cs="Arial"/>
                      <w:color w:val="0A0905"/>
                      <w:lang w:val="sr-Latn-CS" w:eastAsia="sr-Latn-CS"/>
                    </w:rPr>
                    <w:t></w:t>
                  </w: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139.8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105.2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1.58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4.28</w:t>
                  </w:r>
                </w:p>
              </w:tc>
            </w:tr>
            <w:tr w:rsidR="003E3CC3" w:rsidRPr="000439C2" w:rsidTr="003E3CC3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85+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276.5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226.2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0.17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3E3CC3" w:rsidRPr="000439C2" w:rsidRDefault="003E3CC3" w:rsidP="003E3CC3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0439C2">
                    <w:rPr>
                      <w:rFonts w:cs="Arial"/>
                      <w:color w:val="0A0905"/>
                      <w:lang w:val="sr-Latn-CS" w:eastAsia="sr-Latn-CS"/>
                    </w:rPr>
                    <w:t>0.64</w:t>
                  </w:r>
                </w:p>
              </w:tc>
            </w:tr>
          </w:tbl>
          <w:p w:rsidR="003E3CC3" w:rsidRPr="000439C2" w:rsidRDefault="003E3CC3" w:rsidP="003E3CC3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3E3CC3" w:rsidRDefault="003E3CC3" w:rsidP="003E3CC3">
      <w:pPr>
        <w:spacing w:before="0"/>
        <w:rPr>
          <w:rFonts w:cs="Arial"/>
          <w:color w:val="0A0905"/>
          <w:lang w:val="sr-Latn-CS" w:eastAsia="sr-Latn-CS"/>
        </w:rPr>
      </w:pPr>
    </w:p>
    <w:p w:rsidR="003E3CC3" w:rsidRDefault="003E3CC3" w:rsidP="003E3CC3">
      <w:pPr>
        <w:spacing w:before="0" w:after="12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елиминисали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ефекте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различитих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старосних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структура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желимо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упоредимо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погледати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стопе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смртности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специфичним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годинама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много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 xml:space="preserve">и </w:t>
      </w:r>
      <w:r>
        <w:rPr>
          <w:rFonts w:cs="Arial"/>
          <w:lang w:val="it-IT"/>
        </w:rPr>
        <w:t>три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начина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најчешће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коришћена</w:t>
      </w:r>
      <w:r w:rsidRPr="0095267B">
        <w:rPr>
          <w:rFonts w:cs="Arial"/>
          <w:lang w:val="it-IT"/>
        </w:rPr>
        <w:t xml:space="preserve">: </w:t>
      </w:r>
      <w:r>
        <w:rPr>
          <w:rFonts w:cs="Arial"/>
          <w:lang w:val="it-IT"/>
        </w:rPr>
        <w:t>директне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индиректне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методе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стандардизације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старосне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ж</w:t>
      </w:r>
      <w:r>
        <w:rPr>
          <w:rFonts w:cs="Arial"/>
          <w:lang w:val="it-IT"/>
        </w:rPr>
        <w:t>ивота</w:t>
      </w:r>
      <w:r w:rsidRPr="0095267B">
        <w:rPr>
          <w:rFonts w:cs="Arial"/>
          <w:lang w:val="it-IT"/>
        </w:rPr>
        <w:t>.</w:t>
      </w:r>
    </w:p>
    <w:sectPr w:rsidR="003E3CC3" w:rsidSect="00132F9E">
      <w:headerReference w:type="default" r:id="rId55"/>
      <w:footerReference w:type="default" r:id="rId56"/>
      <w:headerReference w:type="first" r:id="rId57"/>
      <w:pgSz w:w="11907" w:h="16840" w:code="9"/>
      <w:pgMar w:top="1440" w:right="1418" w:bottom="144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B0C" w:rsidRDefault="00A05B0C">
      <w:r>
        <w:separator/>
      </w:r>
    </w:p>
  </w:endnote>
  <w:endnote w:type="continuationSeparator" w:id="1">
    <w:p w:rsidR="00A05B0C" w:rsidRDefault="00A05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CC3" w:rsidRDefault="003E3CC3" w:rsidP="00AF0E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9135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9135A">
      <w:rPr>
        <w:rStyle w:val="PageNumber"/>
        <w:noProof/>
      </w:rPr>
      <w:t>10</w:t>
    </w:r>
    <w:r>
      <w:rPr>
        <w:rStyle w:val="PageNumber"/>
      </w:rPr>
      <w:fldChar w:fldCharType="end"/>
    </w:r>
  </w:p>
  <w:p w:rsidR="003E3CC3" w:rsidRPr="00AF0E79" w:rsidRDefault="003E3CC3" w:rsidP="00AF0E79">
    <w:pPr>
      <w:pStyle w:val="Footer"/>
      <w:ind w:right="360"/>
      <w:rPr>
        <w:sz w:val="16"/>
        <w:szCs w:val="16"/>
        <w:lang/>
      </w:rPr>
    </w:pPr>
    <w:r>
      <w:rPr>
        <w:noProof/>
        <w:sz w:val="16"/>
        <w:szCs w:val="16"/>
        <w:lang w:val="en-US"/>
      </w:rPr>
      <w:pict>
        <v:line id="_x0000_s1026" style="position:absolute;left:0;text-align:left;z-index:251660288" from="0,3.5pt" to="456pt,3.5pt"/>
      </w:pict>
    </w:r>
    <w:r w:rsidRPr="00FC1F3E">
      <w:rPr>
        <w:noProof/>
        <w:sz w:val="16"/>
        <w:szCs w:val="16"/>
        <w:lang w:val="en-US"/>
      </w:rPr>
      <w:t>Назив предавања: &lt;</w:t>
    </w:r>
    <w:r w:rsidR="00E27098" w:rsidRPr="00E27098">
      <w:t xml:space="preserve"> </w:t>
    </w:r>
    <w:r w:rsidR="00E27098" w:rsidRPr="00E27098">
      <w:rPr>
        <w:noProof/>
        <w:sz w:val="16"/>
        <w:szCs w:val="16"/>
        <w:lang w:val="sr-Cyrl-CS"/>
      </w:rPr>
      <w:t xml:space="preserve">Клиничка мерења и статистике морталитета </w:t>
    </w:r>
    <w:r w:rsidRPr="00FC1F3E">
      <w:rPr>
        <w:noProof/>
        <w:sz w:val="16"/>
        <w:szCs w:val="16"/>
        <w:lang w:val="en-US"/>
      </w:rPr>
      <w:t>&gt;</w:t>
    </w:r>
    <w:r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B0C" w:rsidRDefault="00A05B0C">
      <w:r>
        <w:separator/>
      </w:r>
    </w:p>
  </w:footnote>
  <w:footnote w:type="continuationSeparator" w:id="1">
    <w:p w:rsidR="00A05B0C" w:rsidRDefault="00A05B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CC3" w:rsidRDefault="003E3CC3" w:rsidP="00AF0E79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3E3CC3" w:rsidRPr="00BA7A03" w:rsidRDefault="003E3CC3" w:rsidP="00AF0E79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EF3EAD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E27098">
      <w:rPr>
        <w:b/>
        <w:sz w:val="16"/>
        <w:szCs w:val="16"/>
        <w:lang w:val="sr-Cyrl-CS"/>
      </w:rPr>
      <w:t>11</w:t>
    </w:r>
  </w:p>
  <w:p w:rsidR="003E3CC3" w:rsidRPr="00AF0E79" w:rsidRDefault="003E3CC3" w:rsidP="00AF0E79">
    <w:pPr>
      <w:pStyle w:val="Header"/>
      <w:spacing w:before="0"/>
      <w:rPr>
        <w:lang/>
      </w:rPr>
    </w:pPr>
    <w:r>
      <w:rPr>
        <w:noProof/>
        <w:lang w:val="en-US"/>
      </w:rPr>
      <w:pict>
        <v:line id="_x0000_s1028" style="position:absolute;left:0;text-align:left;z-index:251658240" from="-2pt,6.3pt" to="454pt,6.3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CC3" w:rsidRDefault="003E3CC3" w:rsidP="00AF0E79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3E3CC3" w:rsidRPr="00BA7A03" w:rsidRDefault="003E3CC3" w:rsidP="00AF0E79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EF3EAD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9</w:t>
    </w:r>
  </w:p>
  <w:p w:rsidR="003E3CC3" w:rsidRPr="00AF0E79" w:rsidRDefault="003E3CC3" w:rsidP="00AF0E79">
    <w:pPr>
      <w:pStyle w:val="Header"/>
      <w:spacing w:before="0"/>
      <w:rPr>
        <w:lang/>
      </w:rPr>
    </w:pPr>
    <w:r>
      <w:rPr>
        <w:noProof/>
        <w:lang w:val="en-US"/>
      </w:rPr>
      <w:pict>
        <v:line id="_x0000_s1027" style="position:absolute;left:0;text-align:left;z-index:251658240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4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7"/>
  </w:num>
  <w:num w:numId="5">
    <w:abstractNumId w:val="31"/>
  </w:num>
  <w:num w:numId="6">
    <w:abstractNumId w:val="4"/>
  </w:num>
  <w:num w:numId="7">
    <w:abstractNumId w:val="12"/>
  </w:num>
  <w:num w:numId="8">
    <w:abstractNumId w:val="21"/>
  </w:num>
  <w:num w:numId="9">
    <w:abstractNumId w:val="28"/>
  </w:num>
  <w:num w:numId="10">
    <w:abstractNumId w:val="18"/>
  </w:num>
  <w:num w:numId="11">
    <w:abstractNumId w:val="25"/>
  </w:num>
  <w:num w:numId="12">
    <w:abstractNumId w:val="17"/>
  </w:num>
  <w:num w:numId="13">
    <w:abstractNumId w:val="1"/>
  </w:num>
  <w:num w:numId="14">
    <w:abstractNumId w:val="2"/>
  </w:num>
  <w:num w:numId="15">
    <w:abstractNumId w:val="23"/>
  </w:num>
  <w:num w:numId="16">
    <w:abstractNumId w:val="27"/>
  </w:num>
  <w:num w:numId="17">
    <w:abstractNumId w:val="26"/>
  </w:num>
  <w:num w:numId="18">
    <w:abstractNumId w:val="22"/>
  </w:num>
  <w:num w:numId="19">
    <w:abstractNumId w:val="14"/>
  </w:num>
  <w:num w:numId="20">
    <w:abstractNumId w:val="20"/>
  </w:num>
  <w:num w:numId="21">
    <w:abstractNumId w:val="15"/>
  </w:num>
  <w:num w:numId="22">
    <w:abstractNumId w:val="29"/>
  </w:num>
  <w:num w:numId="23">
    <w:abstractNumId w:val="32"/>
  </w:num>
  <w:num w:numId="24">
    <w:abstractNumId w:val="0"/>
  </w:num>
  <w:num w:numId="25">
    <w:abstractNumId w:val="11"/>
  </w:num>
  <w:num w:numId="26">
    <w:abstractNumId w:val="10"/>
  </w:num>
  <w:num w:numId="27">
    <w:abstractNumId w:val="3"/>
  </w:num>
  <w:num w:numId="28">
    <w:abstractNumId w:val="19"/>
  </w:num>
  <w:num w:numId="29">
    <w:abstractNumId w:val="30"/>
  </w:num>
  <w:num w:numId="30">
    <w:abstractNumId w:val="5"/>
  </w:num>
  <w:num w:numId="31">
    <w:abstractNumId w:val="13"/>
  </w:num>
  <w:num w:numId="32">
    <w:abstractNumId w:val="8"/>
  </w:num>
  <w:num w:numId="33">
    <w:abstractNumId w:val="9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11E88"/>
    <w:rsid w:val="00016155"/>
    <w:rsid w:val="00017862"/>
    <w:rsid w:val="000211B5"/>
    <w:rsid w:val="00021483"/>
    <w:rsid w:val="000216A4"/>
    <w:rsid w:val="00024045"/>
    <w:rsid w:val="000277ED"/>
    <w:rsid w:val="00032473"/>
    <w:rsid w:val="00033D79"/>
    <w:rsid w:val="00033F3A"/>
    <w:rsid w:val="00034B68"/>
    <w:rsid w:val="0003547D"/>
    <w:rsid w:val="000416AB"/>
    <w:rsid w:val="00042A51"/>
    <w:rsid w:val="00046C95"/>
    <w:rsid w:val="0005059B"/>
    <w:rsid w:val="0005619C"/>
    <w:rsid w:val="000647CD"/>
    <w:rsid w:val="00064B81"/>
    <w:rsid w:val="000654A7"/>
    <w:rsid w:val="0007098A"/>
    <w:rsid w:val="00077A6E"/>
    <w:rsid w:val="00081B07"/>
    <w:rsid w:val="00083111"/>
    <w:rsid w:val="000907C2"/>
    <w:rsid w:val="0009135A"/>
    <w:rsid w:val="00092CCC"/>
    <w:rsid w:val="000932D0"/>
    <w:rsid w:val="00096301"/>
    <w:rsid w:val="000A6F82"/>
    <w:rsid w:val="000A7D6F"/>
    <w:rsid w:val="000B07B4"/>
    <w:rsid w:val="000B08E6"/>
    <w:rsid w:val="000B6BB8"/>
    <w:rsid w:val="000C010E"/>
    <w:rsid w:val="000C38FD"/>
    <w:rsid w:val="000D0471"/>
    <w:rsid w:val="000D0489"/>
    <w:rsid w:val="000D4519"/>
    <w:rsid w:val="000D52C4"/>
    <w:rsid w:val="000D6109"/>
    <w:rsid w:val="000E0314"/>
    <w:rsid w:val="000E2139"/>
    <w:rsid w:val="000E591C"/>
    <w:rsid w:val="000E6FF3"/>
    <w:rsid w:val="000F0163"/>
    <w:rsid w:val="000F5C8F"/>
    <w:rsid w:val="000F5D33"/>
    <w:rsid w:val="000F75A2"/>
    <w:rsid w:val="00101C66"/>
    <w:rsid w:val="001034F4"/>
    <w:rsid w:val="00105B16"/>
    <w:rsid w:val="00106980"/>
    <w:rsid w:val="001070F6"/>
    <w:rsid w:val="00107F33"/>
    <w:rsid w:val="00111BBD"/>
    <w:rsid w:val="001123FE"/>
    <w:rsid w:val="0011311E"/>
    <w:rsid w:val="001139FA"/>
    <w:rsid w:val="00115CC2"/>
    <w:rsid w:val="00121041"/>
    <w:rsid w:val="001223F5"/>
    <w:rsid w:val="00122426"/>
    <w:rsid w:val="001310B5"/>
    <w:rsid w:val="00132133"/>
    <w:rsid w:val="00132957"/>
    <w:rsid w:val="00132F9E"/>
    <w:rsid w:val="00134177"/>
    <w:rsid w:val="00134F09"/>
    <w:rsid w:val="0013507A"/>
    <w:rsid w:val="0013545E"/>
    <w:rsid w:val="0013624A"/>
    <w:rsid w:val="00136773"/>
    <w:rsid w:val="00146EF7"/>
    <w:rsid w:val="00150E6F"/>
    <w:rsid w:val="00151C92"/>
    <w:rsid w:val="00153C7B"/>
    <w:rsid w:val="00154018"/>
    <w:rsid w:val="0015514D"/>
    <w:rsid w:val="0016077D"/>
    <w:rsid w:val="00160B20"/>
    <w:rsid w:val="00160BD4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4F1D"/>
    <w:rsid w:val="001952EB"/>
    <w:rsid w:val="00195EA4"/>
    <w:rsid w:val="001A1D22"/>
    <w:rsid w:val="001A71C4"/>
    <w:rsid w:val="001B3EFB"/>
    <w:rsid w:val="001B55BB"/>
    <w:rsid w:val="001B60D8"/>
    <w:rsid w:val="001B76B0"/>
    <w:rsid w:val="001C4BDA"/>
    <w:rsid w:val="001C5D03"/>
    <w:rsid w:val="001D2CEA"/>
    <w:rsid w:val="001D3BDA"/>
    <w:rsid w:val="001E006D"/>
    <w:rsid w:val="001E0A25"/>
    <w:rsid w:val="001E2CB6"/>
    <w:rsid w:val="001E6CE0"/>
    <w:rsid w:val="001F0ACD"/>
    <w:rsid w:val="001F0CCA"/>
    <w:rsid w:val="001F2EF7"/>
    <w:rsid w:val="001F34AF"/>
    <w:rsid w:val="001F5F0A"/>
    <w:rsid w:val="002015BF"/>
    <w:rsid w:val="00212379"/>
    <w:rsid w:val="002159BB"/>
    <w:rsid w:val="00216DF9"/>
    <w:rsid w:val="00220B07"/>
    <w:rsid w:val="00220C61"/>
    <w:rsid w:val="00224C4C"/>
    <w:rsid w:val="00226F8E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FA9"/>
    <w:rsid w:val="002674CB"/>
    <w:rsid w:val="002702CF"/>
    <w:rsid w:val="0027177B"/>
    <w:rsid w:val="00272ECA"/>
    <w:rsid w:val="0027624E"/>
    <w:rsid w:val="002811B0"/>
    <w:rsid w:val="002833AB"/>
    <w:rsid w:val="00295312"/>
    <w:rsid w:val="002A2BEE"/>
    <w:rsid w:val="002A3DA1"/>
    <w:rsid w:val="002A4157"/>
    <w:rsid w:val="002A6F0A"/>
    <w:rsid w:val="002A7106"/>
    <w:rsid w:val="002A7AEC"/>
    <w:rsid w:val="002B1544"/>
    <w:rsid w:val="002B1AAC"/>
    <w:rsid w:val="002B6A0B"/>
    <w:rsid w:val="002C1ED5"/>
    <w:rsid w:val="002C3660"/>
    <w:rsid w:val="002C43FA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D766E"/>
    <w:rsid w:val="002E16C1"/>
    <w:rsid w:val="002E3DB8"/>
    <w:rsid w:val="002E708E"/>
    <w:rsid w:val="002E723D"/>
    <w:rsid w:val="002F18A5"/>
    <w:rsid w:val="002F4B0A"/>
    <w:rsid w:val="002F5912"/>
    <w:rsid w:val="002F6E83"/>
    <w:rsid w:val="00300FE3"/>
    <w:rsid w:val="0030138E"/>
    <w:rsid w:val="003028D5"/>
    <w:rsid w:val="00303AF1"/>
    <w:rsid w:val="00303D55"/>
    <w:rsid w:val="00304C52"/>
    <w:rsid w:val="003054D2"/>
    <w:rsid w:val="00306A97"/>
    <w:rsid w:val="00307E6B"/>
    <w:rsid w:val="003111AC"/>
    <w:rsid w:val="00312AA1"/>
    <w:rsid w:val="0031509B"/>
    <w:rsid w:val="003161E2"/>
    <w:rsid w:val="00317228"/>
    <w:rsid w:val="003258E5"/>
    <w:rsid w:val="003276CF"/>
    <w:rsid w:val="00330B57"/>
    <w:rsid w:val="00331B00"/>
    <w:rsid w:val="003328CC"/>
    <w:rsid w:val="00347122"/>
    <w:rsid w:val="00352E2F"/>
    <w:rsid w:val="003559CD"/>
    <w:rsid w:val="00364C10"/>
    <w:rsid w:val="00365A1B"/>
    <w:rsid w:val="003702F4"/>
    <w:rsid w:val="0037147D"/>
    <w:rsid w:val="003729AC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3F0E"/>
    <w:rsid w:val="00396507"/>
    <w:rsid w:val="003A1BB8"/>
    <w:rsid w:val="003A31B3"/>
    <w:rsid w:val="003A3C3E"/>
    <w:rsid w:val="003B0E2F"/>
    <w:rsid w:val="003B1D2C"/>
    <w:rsid w:val="003C0775"/>
    <w:rsid w:val="003C186E"/>
    <w:rsid w:val="003C3020"/>
    <w:rsid w:val="003C7881"/>
    <w:rsid w:val="003D02C5"/>
    <w:rsid w:val="003D2A52"/>
    <w:rsid w:val="003D3A6A"/>
    <w:rsid w:val="003E3CC3"/>
    <w:rsid w:val="003E4EBC"/>
    <w:rsid w:val="003E5248"/>
    <w:rsid w:val="003F0BE4"/>
    <w:rsid w:val="003F1F4B"/>
    <w:rsid w:val="003F2523"/>
    <w:rsid w:val="003F252F"/>
    <w:rsid w:val="003F439E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48C7"/>
    <w:rsid w:val="004159EA"/>
    <w:rsid w:val="004173B4"/>
    <w:rsid w:val="004226FF"/>
    <w:rsid w:val="00422C67"/>
    <w:rsid w:val="00422E35"/>
    <w:rsid w:val="00424487"/>
    <w:rsid w:val="004256DC"/>
    <w:rsid w:val="0042737F"/>
    <w:rsid w:val="0042796A"/>
    <w:rsid w:val="00427A1F"/>
    <w:rsid w:val="00427F2A"/>
    <w:rsid w:val="004314CF"/>
    <w:rsid w:val="00440B8F"/>
    <w:rsid w:val="004428B5"/>
    <w:rsid w:val="00442F1F"/>
    <w:rsid w:val="00443405"/>
    <w:rsid w:val="004443DA"/>
    <w:rsid w:val="004446CE"/>
    <w:rsid w:val="00444733"/>
    <w:rsid w:val="00444A3C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697A"/>
    <w:rsid w:val="00472350"/>
    <w:rsid w:val="0048132B"/>
    <w:rsid w:val="0048484F"/>
    <w:rsid w:val="004878F0"/>
    <w:rsid w:val="00490E05"/>
    <w:rsid w:val="00492376"/>
    <w:rsid w:val="00492B89"/>
    <w:rsid w:val="00492C69"/>
    <w:rsid w:val="0049363E"/>
    <w:rsid w:val="00497AF2"/>
    <w:rsid w:val="004A09B8"/>
    <w:rsid w:val="004A4015"/>
    <w:rsid w:val="004A7564"/>
    <w:rsid w:val="004A7B16"/>
    <w:rsid w:val="004A7E00"/>
    <w:rsid w:val="004A7ED3"/>
    <w:rsid w:val="004B05EC"/>
    <w:rsid w:val="004B0CBF"/>
    <w:rsid w:val="004B24FD"/>
    <w:rsid w:val="004B2D8C"/>
    <w:rsid w:val="004B4196"/>
    <w:rsid w:val="004B7EEA"/>
    <w:rsid w:val="004C1D1B"/>
    <w:rsid w:val="004C39ED"/>
    <w:rsid w:val="004C4E31"/>
    <w:rsid w:val="004C71CB"/>
    <w:rsid w:val="004D1FF7"/>
    <w:rsid w:val="004D311C"/>
    <w:rsid w:val="004D456F"/>
    <w:rsid w:val="004D57DD"/>
    <w:rsid w:val="004D77BB"/>
    <w:rsid w:val="004F0195"/>
    <w:rsid w:val="004F0C94"/>
    <w:rsid w:val="004F2684"/>
    <w:rsid w:val="00500F45"/>
    <w:rsid w:val="00501E8B"/>
    <w:rsid w:val="0050371C"/>
    <w:rsid w:val="00510A19"/>
    <w:rsid w:val="00511898"/>
    <w:rsid w:val="00511EA7"/>
    <w:rsid w:val="00513C23"/>
    <w:rsid w:val="00513C6C"/>
    <w:rsid w:val="00517A71"/>
    <w:rsid w:val="005206ED"/>
    <w:rsid w:val="005257EB"/>
    <w:rsid w:val="00530EB3"/>
    <w:rsid w:val="00533B39"/>
    <w:rsid w:val="0053553C"/>
    <w:rsid w:val="005462B9"/>
    <w:rsid w:val="0055024B"/>
    <w:rsid w:val="005524AD"/>
    <w:rsid w:val="00553A60"/>
    <w:rsid w:val="00560345"/>
    <w:rsid w:val="005643BB"/>
    <w:rsid w:val="0057064C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93AB9"/>
    <w:rsid w:val="005A48A7"/>
    <w:rsid w:val="005A5854"/>
    <w:rsid w:val="005A58C9"/>
    <w:rsid w:val="005A65C4"/>
    <w:rsid w:val="005A6E56"/>
    <w:rsid w:val="005B1674"/>
    <w:rsid w:val="005B6F3D"/>
    <w:rsid w:val="005B7C75"/>
    <w:rsid w:val="005C0106"/>
    <w:rsid w:val="005C1BCC"/>
    <w:rsid w:val="005C5E7C"/>
    <w:rsid w:val="005D022F"/>
    <w:rsid w:val="005D24DC"/>
    <w:rsid w:val="005D24F3"/>
    <w:rsid w:val="005D2DDC"/>
    <w:rsid w:val="005D7A7F"/>
    <w:rsid w:val="005E14E6"/>
    <w:rsid w:val="005E151E"/>
    <w:rsid w:val="005E2323"/>
    <w:rsid w:val="005E5988"/>
    <w:rsid w:val="005E75BF"/>
    <w:rsid w:val="005F0196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A5E"/>
    <w:rsid w:val="00620A73"/>
    <w:rsid w:val="00635B8A"/>
    <w:rsid w:val="00635BBD"/>
    <w:rsid w:val="0063601C"/>
    <w:rsid w:val="006360E0"/>
    <w:rsid w:val="00637B92"/>
    <w:rsid w:val="00640450"/>
    <w:rsid w:val="00640AA7"/>
    <w:rsid w:val="006449B3"/>
    <w:rsid w:val="00652167"/>
    <w:rsid w:val="00664407"/>
    <w:rsid w:val="0066523F"/>
    <w:rsid w:val="00666177"/>
    <w:rsid w:val="00670081"/>
    <w:rsid w:val="00670134"/>
    <w:rsid w:val="00672442"/>
    <w:rsid w:val="006728E6"/>
    <w:rsid w:val="00682AF4"/>
    <w:rsid w:val="006838FD"/>
    <w:rsid w:val="006849A3"/>
    <w:rsid w:val="00686D75"/>
    <w:rsid w:val="006956C5"/>
    <w:rsid w:val="00697038"/>
    <w:rsid w:val="00697AE4"/>
    <w:rsid w:val="006A0705"/>
    <w:rsid w:val="006A4181"/>
    <w:rsid w:val="006A588C"/>
    <w:rsid w:val="006A63B3"/>
    <w:rsid w:val="006A758F"/>
    <w:rsid w:val="006B0425"/>
    <w:rsid w:val="006B510B"/>
    <w:rsid w:val="006B7F1D"/>
    <w:rsid w:val="006C1378"/>
    <w:rsid w:val="006C34C7"/>
    <w:rsid w:val="006C5998"/>
    <w:rsid w:val="006D28E2"/>
    <w:rsid w:val="006D32A9"/>
    <w:rsid w:val="006D445F"/>
    <w:rsid w:val="006D5097"/>
    <w:rsid w:val="006D6261"/>
    <w:rsid w:val="006D693E"/>
    <w:rsid w:val="006E06FD"/>
    <w:rsid w:val="006E2157"/>
    <w:rsid w:val="006E2167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0EA6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34F80"/>
    <w:rsid w:val="00740D7C"/>
    <w:rsid w:val="00741001"/>
    <w:rsid w:val="007424F5"/>
    <w:rsid w:val="007438F6"/>
    <w:rsid w:val="00743B44"/>
    <w:rsid w:val="007456E5"/>
    <w:rsid w:val="00745D46"/>
    <w:rsid w:val="00746666"/>
    <w:rsid w:val="00746A81"/>
    <w:rsid w:val="0075152E"/>
    <w:rsid w:val="00751FB3"/>
    <w:rsid w:val="00754115"/>
    <w:rsid w:val="00756906"/>
    <w:rsid w:val="00756A21"/>
    <w:rsid w:val="00757E95"/>
    <w:rsid w:val="00760F7C"/>
    <w:rsid w:val="007628F2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C02"/>
    <w:rsid w:val="00792A44"/>
    <w:rsid w:val="00792B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12B6"/>
    <w:rsid w:val="007B2F97"/>
    <w:rsid w:val="007B6698"/>
    <w:rsid w:val="007B7751"/>
    <w:rsid w:val="007C0B10"/>
    <w:rsid w:val="007C274A"/>
    <w:rsid w:val="007C51E2"/>
    <w:rsid w:val="007C781E"/>
    <w:rsid w:val="007D0AE4"/>
    <w:rsid w:val="007D50BE"/>
    <w:rsid w:val="007E0284"/>
    <w:rsid w:val="007E1163"/>
    <w:rsid w:val="007E354A"/>
    <w:rsid w:val="007E3A07"/>
    <w:rsid w:val="007E6A4B"/>
    <w:rsid w:val="007E7760"/>
    <w:rsid w:val="007F6AAD"/>
    <w:rsid w:val="00803152"/>
    <w:rsid w:val="00803349"/>
    <w:rsid w:val="00804866"/>
    <w:rsid w:val="00806308"/>
    <w:rsid w:val="008063F9"/>
    <w:rsid w:val="00806FBC"/>
    <w:rsid w:val="0080739D"/>
    <w:rsid w:val="0080795A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6959"/>
    <w:rsid w:val="008378CC"/>
    <w:rsid w:val="008379B3"/>
    <w:rsid w:val="00842D31"/>
    <w:rsid w:val="008520D0"/>
    <w:rsid w:val="00852185"/>
    <w:rsid w:val="00855AE4"/>
    <w:rsid w:val="00862DEA"/>
    <w:rsid w:val="0086743F"/>
    <w:rsid w:val="008708C5"/>
    <w:rsid w:val="00870EFF"/>
    <w:rsid w:val="00871EF0"/>
    <w:rsid w:val="008724DA"/>
    <w:rsid w:val="00873870"/>
    <w:rsid w:val="0087516A"/>
    <w:rsid w:val="008751A4"/>
    <w:rsid w:val="00875908"/>
    <w:rsid w:val="00875967"/>
    <w:rsid w:val="00876287"/>
    <w:rsid w:val="00876473"/>
    <w:rsid w:val="00877034"/>
    <w:rsid w:val="0087793D"/>
    <w:rsid w:val="00877C88"/>
    <w:rsid w:val="008826CD"/>
    <w:rsid w:val="0088284B"/>
    <w:rsid w:val="0088458B"/>
    <w:rsid w:val="0088494C"/>
    <w:rsid w:val="00884C2B"/>
    <w:rsid w:val="00887553"/>
    <w:rsid w:val="008943E1"/>
    <w:rsid w:val="00895A0E"/>
    <w:rsid w:val="0089738F"/>
    <w:rsid w:val="008A0059"/>
    <w:rsid w:val="008A0E13"/>
    <w:rsid w:val="008A34E2"/>
    <w:rsid w:val="008B4B85"/>
    <w:rsid w:val="008B7794"/>
    <w:rsid w:val="008C090E"/>
    <w:rsid w:val="008C0AB6"/>
    <w:rsid w:val="008C41FF"/>
    <w:rsid w:val="008C4BC8"/>
    <w:rsid w:val="008C56D8"/>
    <w:rsid w:val="008C5A94"/>
    <w:rsid w:val="008D210E"/>
    <w:rsid w:val="008D2581"/>
    <w:rsid w:val="008D52D8"/>
    <w:rsid w:val="008D6AB7"/>
    <w:rsid w:val="008D6B6C"/>
    <w:rsid w:val="008E28E5"/>
    <w:rsid w:val="008E7A2A"/>
    <w:rsid w:val="008F31E4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3B3C"/>
    <w:rsid w:val="009341D6"/>
    <w:rsid w:val="009343DE"/>
    <w:rsid w:val="00935307"/>
    <w:rsid w:val="00935AC8"/>
    <w:rsid w:val="0094259F"/>
    <w:rsid w:val="009478D1"/>
    <w:rsid w:val="00951ACF"/>
    <w:rsid w:val="009560B3"/>
    <w:rsid w:val="00962692"/>
    <w:rsid w:val="00965336"/>
    <w:rsid w:val="009677B4"/>
    <w:rsid w:val="00970F8A"/>
    <w:rsid w:val="00985BD2"/>
    <w:rsid w:val="009878FE"/>
    <w:rsid w:val="0099075E"/>
    <w:rsid w:val="00992F50"/>
    <w:rsid w:val="00993AEA"/>
    <w:rsid w:val="00994A2E"/>
    <w:rsid w:val="00994EED"/>
    <w:rsid w:val="009A0241"/>
    <w:rsid w:val="009A158C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3875"/>
    <w:rsid w:val="009D4811"/>
    <w:rsid w:val="009D49D0"/>
    <w:rsid w:val="009D620C"/>
    <w:rsid w:val="009E3AA0"/>
    <w:rsid w:val="009E3F4F"/>
    <w:rsid w:val="009F0A6B"/>
    <w:rsid w:val="009F7A52"/>
    <w:rsid w:val="00A0145C"/>
    <w:rsid w:val="00A0336A"/>
    <w:rsid w:val="00A03A7C"/>
    <w:rsid w:val="00A05B0C"/>
    <w:rsid w:val="00A06B01"/>
    <w:rsid w:val="00A11438"/>
    <w:rsid w:val="00A141DF"/>
    <w:rsid w:val="00A1648D"/>
    <w:rsid w:val="00A16767"/>
    <w:rsid w:val="00A2428B"/>
    <w:rsid w:val="00A245D8"/>
    <w:rsid w:val="00A34BA4"/>
    <w:rsid w:val="00A370D2"/>
    <w:rsid w:val="00A42C15"/>
    <w:rsid w:val="00A43259"/>
    <w:rsid w:val="00A433BC"/>
    <w:rsid w:val="00A44D6D"/>
    <w:rsid w:val="00A51DAF"/>
    <w:rsid w:val="00A533D3"/>
    <w:rsid w:val="00A55121"/>
    <w:rsid w:val="00A65392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97D17"/>
    <w:rsid w:val="00AA1686"/>
    <w:rsid w:val="00AA4093"/>
    <w:rsid w:val="00AA628A"/>
    <w:rsid w:val="00AB1D36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D4031"/>
    <w:rsid w:val="00AE1E7F"/>
    <w:rsid w:val="00AE2730"/>
    <w:rsid w:val="00AF0E79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6DAA"/>
    <w:rsid w:val="00B17378"/>
    <w:rsid w:val="00B17975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87C"/>
    <w:rsid w:val="00B525CD"/>
    <w:rsid w:val="00B52D71"/>
    <w:rsid w:val="00B542C2"/>
    <w:rsid w:val="00B55BD9"/>
    <w:rsid w:val="00B55E89"/>
    <w:rsid w:val="00B66076"/>
    <w:rsid w:val="00B721E4"/>
    <w:rsid w:val="00B72A22"/>
    <w:rsid w:val="00B735D6"/>
    <w:rsid w:val="00B74FEA"/>
    <w:rsid w:val="00B77E6C"/>
    <w:rsid w:val="00B8075F"/>
    <w:rsid w:val="00B807AB"/>
    <w:rsid w:val="00B87366"/>
    <w:rsid w:val="00B90341"/>
    <w:rsid w:val="00B90C81"/>
    <w:rsid w:val="00B90D6E"/>
    <w:rsid w:val="00B95E0E"/>
    <w:rsid w:val="00B96481"/>
    <w:rsid w:val="00BA10AB"/>
    <w:rsid w:val="00BA1BE1"/>
    <w:rsid w:val="00BA5D63"/>
    <w:rsid w:val="00BA7627"/>
    <w:rsid w:val="00BB0F09"/>
    <w:rsid w:val="00BB1D71"/>
    <w:rsid w:val="00BB376E"/>
    <w:rsid w:val="00BB4095"/>
    <w:rsid w:val="00BB5668"/>
    <w:rsid w:val="00BB59A5"/>
    <w:rsid w:val="00BB5AC7"/>
    <w:rsid w:val="00BC3F23"/>
    <w:rsid w:val="00BC4672"/>
    <w:rsid w:val="00BC66F7"/>
    <w:rsid w:val="00BD11FA"/>
    <w:rsid w:val="00BD1489"/>
    <w:rsid w:val="00BD53E5"/>
    <w:rsid w:val="00BD6A6F"/>
    <w:rsid w:val="00BE36CB"/>
    <w:rsid w:val="00BE3B2E"/>
    <w:rsid w:val="00BE3FA2"/>
    <w:rsid w:val="00BF1D14"/>
    <w:rsid w:val="00C0717E"/>
    <w:rsid w:val="00C07C0B"/>
    <w:rsid w:val="00C21819"/>
    <w:rsid w:val="00C23111"/>
    <w:rsid w:val="00C23766"/>
    <w:rsid w:val="00C24874"/>
    <w:rsid w:val="00C248E2"/>
    <w:rsid w:val="00C25467"/>
    <w:rsid w:val="00C379B6"/>
    <w:rsid w:val="00C41847"/>
    <w:rsid w:val="00C4286D"/>
    <w:rsid w:val="00C4373A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72E"/>
    <w:rsid w:val="00C673B8"/>
    <w:rsid w:val="00C70934"/>
    <w:rsid w:val="00C81A4C"/>
    <w:rsid w:val="00C820E7"/>
    <w:rsid w:val="00C830A0"/>
    <w:rsid w:val="00C85122"/>
    <w:rsid w:val="00C86011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061D"/>
    <w:rsid w:val="00CB1D9C"/>
    <w:rsid w:val="00CB29B1"/>
    <w:rsid w:val="00CB35AE"/>
    <w:rsid w:val="00CB7E37"/>
    <w:rsid w:val="00CC20A0"/>
    <w:rsid w:val="00CC220B"/>
    <w:rsid w:val="00CC458B"/>
    <w:rsid w:val="00CC469D"/>
    <w:rsid w:val="00CC523E"/>
    <w:rsid w:val="00CC65E4"/>
    <w:rsid w:val="00CD1B95"/>
    <w:rsid w:val="00CD4526"/>
    <w:rsid w:val="00CD463E"/>
    <w:rsid w:val="00CD60A2"/>
    <w:rsid w:val="00CD6AC8"/>
    <w:rsid w:val="00CD76DF"/>
    <w:rsid w:val="00CE3B6C"/>
    <w:rsid w:val="00CF0794"/>
    <w:rsid w:val="00CF2D93"/>
    <w:rsid w:val="00CF348A"/>
    <w:rsid w:val="00CF34E3"/>
    <w:rsid w:val="00CF517D"/>
    <w:rsid w:val="00CF52B4"/>
    <w:rsid w:val="00CF6FAC"/>
    <w:rsid w:val="00CF7D89"/>
    <w:rsid w:val="00D0060F"/>
    <w:rsid w:val="00D007BB"/>
    <w:rsid w:val="00D03C06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17557"/>
    <w:rsid w:val="00D20D41"/>
    <w:rsid w:val="00D23F1A"/>
    <w:rsid w:val="00D26F46"/>
    <w:rsid w:val="00D27476"/>
    <w:rsid w:val="00D32F7E"/>
    <w:rsid w:val="00D34423"/>
    <w:rsid w:val="00D35809"/>
    <w:rsid w:val="00D35CEC"/>
    <w:rsid w:val="00D42929"/>
    <w:rsid w:val="00D42F81"/>
    <w:rsid w:val="00D43867"/>
    <w:rsid w:val="00D43B35"/>
    <w:rsid w:val="00D45799"/>
    <w:rsid w:val="00D46B40"/>
    <w:rsid w:val="00D52B08"/>
    <w:rsid w:val="00D53111"/>
    <w:rsid w:val="00D61E28"/>
    <w:rsid w:val="00D6226A"/>
    <w:rsid w:val="00D652AA"/>
    <w:rsid w:val="00D676CC"/>
    <w:rsid w:val="00D73BC7"/>
    <w:rsid w:val="00D75D50"/>
    <w:rsid w:val="00D762D2"/>
    <w:rsid w:val="00D829B0"/>
    <w:rsid w:val="00D86A17"/>
    <w:rsid w:val="00D8738C"/>
    <w:rsid w:val="00D912DB"/>
    <w:rsid w:val="00D92838"/>
    <w:rsid w:val="00D928D2"/>
    <w:rsid w:val="00D9374A"/>
    <w:rsid w:val="00D94C4A"/>
    <w:rsid w:val="00D97167"/>
    <w:rsid w:val="00DA387C"/>
    <w:rsid w:val="00DA3EEB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268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43"/>
    <w:rsid w:val="00E024FE"/>
    <w:rsid w:val="00E04E2A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27098"/>
    <w:rsid w:val="00E3038D"/>
    <w:rsid w:val="00E30592"/>
    <w:rsid w:val="00E343BF"/>
    <w:rsid w:val="00E34AFC"/>
    <w:rsid w:val="00E40644"/>
    <w:rsid w:val="00E40C01"/>
    <w:rsid w:val="00E45BC2"/>
    <w:rsid w:val="00E5033A"/>
    <w:rsid w:val="00E5057E"/>
    <w:rsid w:val="00E510C0"/>
    <w:rsid w:val="00E53D2C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83518"/>
    <w:rsid w:val="00E84B4C"/>
    <w:rsid w:val="00E87B5F"/>
    <w:rsid w:val="00E93A4C"/>
    <w:rsid w:val="00E95598"/>
    <w:rsid w:val="00E96F2A"/>
    <w:rsid w:val="00E97DBC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E2DFE"/>
    <w:rsid w:val="00EE4A0A"/>
    <w:rsid w:val="00EE67B8"/>
    <w:rsid w:val="00EE6D43"/>
    <w:rsid w:val="00EF5B52"/>
    <w:rsid w:val="00F0524C"/>
    <w:rsid w:val="00F05C36"/>
    <w:rsid w:val="00F0658E"/>
    <w:rsid w:val="00F10277"/>
    <w:rsid w:val="00F10969"/>
    <w:rsid w:val="00F10A51"/>
    <w:rsid w:val="00F121A0"/>
    <w:rsid w:val="00F13A0A"/>
    <w:rsid w:val="00F1705F"/>
    <w:rsid w:val="00F20B32"/>
    <w:rsid w:val="00F219D3"/>
    <w:rsid w:val="00F229CA"/>
    <w:rsid w:val="00F22F6A"/>
    <w:rsid w:val="00F2446A"/>
    <w:rsid w:val="00F2637E"/>
    <w:rsid w:val="00F27E7C"/>
    <w:rsid w:val="00F322CB"/>
    <w:rsid w:val="00F37E95"/>
    <w:rsid w:val="00F43BA6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08BC"/>
    <w:rsid w:val="00F71CDF"/>
    <w:rsid w:val="00F742D8"/>
    <w:rsid w:val="00F749AA"/>
    <w:rsid w:val="00F75B66"/>
    <w:rsid w:val="00F76921"/>
    <w:rsid w:val="00F81C64"/>
    <w:rsid w:val="00F822BB"/>
    <w:rsid w:val="00F84AB7"/>
    <w:rsid w:val="00F87BCE"/>
    <w:rsid w:val="00F9098E"/>
    <w:rsid w:val="00F91196"/>
    <w:rsid w:val="00F93B3B"/>
    <w:rsid w:val="00F93C41"/>
    <w:rsid w:val="00FA086C"/>
    <w:rsid w:val="00FA7338"/>
    <w:rsid w:val="00FB226C"/>
    <w:rsid w:val="00FB5865"/>
    <w:rsid w:val="00FB58B5"/>
    <w:rsid w:val="00FB6755"/>
    <w:rsid w:val="00FB7556"/>
    <w:rsid w:val="00FC19A2"/>
    <w:rsid w:val="00FC1A21"/>
    <w:rsid w:val="00FC1F3E"/>
    <w:rsid w:val="00FC5184"/>
    <w:rsid w:val="00FD1F73"/>
    <w:rsid w:val="00FD2D68"/>
    <w:rsid w:val="00FD300D"/>
    <w:rsid w:val="00FD3D5E"/>
    <w:rsid w:val="00FD43B5"/>
    <w:rsid w:val="00FE30A8"/>
    <w:rsid w:val="00FE4150"/>
    <w:rsid w:val="00FF4799"/>
    <w:rsid w:val="00FF6921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3B2E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BE3B2E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BE3B2E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BE3B2E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BE3B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E3B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E3B2E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BE3B2E"/>
  </w:style>
  <w:style w:type="paragraph" w:styleId="HTMLPreformatted">
    <w:name w:val="HTML Preformatted"/>
    <w:basedOn w:val="Normal"/>
    <w:link w:val="HTMLPreformattedChar"/>
    <w:rsid w:val="00BE3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BE3B2E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StyleCM112ptBoldBlack">
    <w:name w:val="Style CM1 + 12 pt Bold Black"/>
    <w:basedOn w:val="CM1"/>
    <w:link w:val="StyleCM112ptBoldBlackChar"/>
    <w:rsid w:val="009E3AA0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9E3AA0"/>
    <w:rPr>
      <w:b/>
      <w:bCs/>
    </w:rPr>
  </w:style>
  <w:style w:type="paragraph" w:styleId="BodyText">
    <w:name w:val="Body Text"/>
    <w:basedOn w:val="Normal"/>
    <w:link w:val="BodyTextChar"/>
    <w:rsid w:val="009E3AA0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TOC4">
    <w:name w:val="toc 4"/>
    <w:basedOn w:val="Normal"/>
    <w:next w:val="Normal"/>
    <w:autoRedefine/>
    <w:semiHidden/>
    <w:rsid w:val="009E3AA0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9E3AA0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9E3AA0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9E3AA0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9E3AA0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9E3AA0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1">
    <w:name w:val="Figure1"/>
    <w:basedOn w:val="Normal"/>
    <w:rsid w:val="009E3AA0"/>
    <w:pPr>
      <w:spacing w:after="120"/>
      <w:jc w:val="center"/>
    </w:pPr>
  </w:style>
  <w:style w:type="paragraph" w:customStyle="1" w:styleId="Equation1">
    <w:name w:val="Equation1"/>
    <w:basedOn w:val="Normal"/>
    <w:rsid w:val="009E3AA0"/>
    <w:pPr>
      <w:ind w:left="567"/>
    </w:pPr>
  </w:style>
  <w:style w:type="paragraph" w:styleId="FootnoteText">
    <w:name w:val="footnote text"/>
    <w:basedOn w:val="Normal"/>
    <w:link w:val="FootnoteTextChar"/>
    <w:unhideWhenUsed/>
    <w:rsid w:val="009E3AA0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9E3AA0"/>
    <w:rPr>
      <w:rFonts w:ascii="Calibri" w:eastAsia="Calibri" w:hAnsi="Calibri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9E3AA0"/>
    <w:pPr>
      <w:spacing w:before="0"/>
    </w:pPr>
    <w:rPr>
      <w:rFonts w:ascii="Tahoma" w:eastAsia="Calibri" w:hAnsi="Tahoma" w:cs="Tahoma"/>
      <w:color w:val="auto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E3AA0"/>
    <w:rPr>
      <w:rFonts w:ascii="Tahoma" w:eastAsia="Calibri" w:hAnsi="Tahoma" w:cs="Tahoma"/>
      <w:sz w:val="16"/>
      <w:szCs w:val="16"/>
      <w:lang w:val="sr-Latn-CS" w:eastAsia="en-US" w:bidi="ar-SA"/>
    </w:rPr>
  </w:style>
  <w:style w:type="paragraph" w:customStyle="1" w:styleId="Style1">
    <w:name w:val="Style1"/>
    <w:basedOn w:val="Normal"/>
    <w:link w:val="Style1Char"/>
    <w:qFormat/>
    <w:rsid w:val="009E3AA0"/>
    <w:pPr>
      <w:spacing w:before="0" w:after="200" w:line="276" w:lineRule="auto"/>
    </w:pPr>
    <w:rPr>
      <w:rFonts w:ascii="Times New Roman" w:eastAsia="Calibri" w:hAnsi="Times New Roman"/>
      <w:color w:val="auto"/>
      <w:sz w:val="24"/>
      <w:szCs w:val="24"/>
      <w:lang w:val="sr-Latn-CS"/>
    </w:rPr>
  </w:style>
  <w:style w:type="character" w:customStyle="1" w:styleId="Style1Char">
    <w:name w:val="Style1 Char"/>
    <w:basedOn w:val="DefaultParagraphFont"/>
    <w:link w:val="Style1"/>
    <w:rsid w:val="009E3AA0"/>
    <w:rPr>
      <w:rFonts w:eastAsia="Calibri"/>
      <w:sz w:val="24"/>
      <w:szCs w:val="24"/>
      <w:lang w:val="sr-Latn-CS" w:eastAsia="en-US" w:bidi="ar-SA"/>
    </w:rPr>
  </w:style>
  <w:style w:type="paragraph" w:customStyle="1" w:styleId="StyleEquation1Before0pt">
    <w:name w:val="Style Equation1 + Before:  0 pt"/>
    <w:basedOn w:val="Equation1"/>
    <w:autoRedefine/>
    <w:rsid w:val="009E3AA0"/>
  </w:style>
  <w:style w:type="character" w:customStyle="1" w:styleId="CharChar2">
    <w:name w:val="Char Char2"/>
    <w:basedOn w:val="DefaultParagraphFont"/>
    <w:rsid w:val="00D8738C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D8738C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D8738C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D8738C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D8738C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D8738C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D8738C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D8738C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D8738C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D8738C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D8738C"/>
    <w:rPr>
      <w:szCs w:val="20"/>
    </w:rPr>
  </w:style>
  <w:style w:type="paragraph" w:customStyle="1" w:styleId="StyleDefaultBold">
    <w:name w:val="Style Default + Bold"/>
    <w:basedOn w:val="Default"/>
    <w:rsid w:val="00D8738C"/>
    <w:rPr>
      <w:bCs/>
    </w:rPr>
  </w:style>
  <w:style w:type="paragraph" w:customStyle="1" w:styleId="StyleDefaultBoldBefore6pt">
    <w:name w:val="Style Default + Bold Before:  6 pt"/>
    <w:basedOn w:val="Default"/>
    <w:rsid w:val="00D8738C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D8738C"/>
    <w:rPr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D8738C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D8738C"/>
  </w:style>
  <w:style w:type="character" w:customStyle="1" w:styleId="figuremediaobject">
    <w:name w:val="figuremediaobject"/>
    <w:basedOn w:val="DefaultParagraphFont"/>
    <w:rsid w:val="00D8738C"/>
  </w:style>
  <w:style w:type="character" w:customStyle="1" w:styleId="figure-title">
    <w:name w:val="figure-title"/>
    <w:basedOn w:val="DefaultParagraphFont"/>
    <w:rsid w:val="00D8738C"/>
  </w:style>
  <w:style w:type="character" w:customStyle="1" w:styleId="figure-titlelabel">
    <w:name w:val="figure-titlelabel"/>
    <w:basedOn w:val="DefaultParagraphFont"/>
    <w:rsid w:val="00D8738C"/>
  </w:style>
  <w:style w:type="character" w:customStyle="1" w:styleId="example-title">
    <w:name w:val="example-title"/>
    <w:basedOn w:val="DefaultParagraphFont"/>
    <w:rsid w:val="00D8738C"/>
  </w:style>
  <w:style w:type="character" w:customStyle="1" w:styleId="example-titlelabel">
    <w:name w:val="example-titlelabel"/>
    <w:basedOn w:val="DefaultParagraphFont"/>
    <w:rsid w:val="00D8738C"/>
  </w:style>
  <w:style w:type="paragraph" w:customStyle="1" w:styleId="last-para">
    <w:name w:val="la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D8738C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link w:val="BodyTextIndent2Char"/>
    <w:rsid w:val="00D8738C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D8738C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D8738C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D8738C"/>
  </w:style>
  <w:style w:type="character" w:customStyle="1" w:styleId="table-titlelabel">
    <w:name w:val="table-titlelabel"/>
    <w:basedOn w:val="DefaultParagraphFont"/>
    <w:rsid w:val="00D8738C"/>
  </w:style>
  <w:style w:type="paragraph" w:customStyle="1" w:styleId="para1">
    <w:name w:val="para1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D8738C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D8738C"/>
    <w:pPr>
      <w:spacing w:after="120"/>
      <w:jc w:val="center"/>
    </w:pPr>
    <w:rPr>
      <w:rFonts w:cs="Arial"/>
      <w:lang w:val="en-US"/>
    </w:rPr>
  </w:style>
  <w:style w:type="character" w:customStyle="1" w:styleId="emphb">
    <w:name w:val="emph_b"/>
    <w:basedOn w:val="DefaultParagraphFont"/>
    <w:rsid w:val="00D8738C"/>
  </w:style>
  <w:style w:type="character" w:customStyle="1" w:styleId="lk">
    <w:name w:val="lk"/>
    <w:basedOn w:val="DefaultParagraphFont"/>
    <w:rsid w:val="00D8738C"/>
  </w:style>
  <w:style w:type="character" w:customStyle="1" w:styleId="emphi">
    <w:name w:val="emph_i"/>
    <w:basedOn w:val="DefaultParagraphFont"/>
    <w:rsid w:val="00D8738C"/>
  </w:style>
  <w:style w:type="character" w:customStyle="1" w:styleId="printheaderlabel1">
    <w:name w:val="printheader_label1"/>
    <w:basedOn w:val="DefaultParagraphFont"/>
    <w:rsid w:val="00D8738C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D8738C"/>
    <w:rPr>
      <w:i w:val="0"/>
      <w:iCs w:val="0"/>
    </w:rPr>
  </w:style>
  <w:style w:type="character" w:customStyle="1" w:styleId="emphb1">
    <w:name w:val="emph_b1"/>
    <w:basedOn w:val="DefaultParagraphFont"/>
    <w:rsid w:val="00D8738C"/>
    <w:rPr>
      <w:b/>
      <w:bCs/>
    </w:rPr>
  </w:style>
  <w:style w:type="character" w:customStyle="1" w:styleId="emphi1">
    <w:name w:val="emph_i1"/>
    <w:basedOn w:val="DefaultParagraphFont"/>
    <w:rsid w:val="00D8738C"/>
    <w:rPr>
      <w:i/>
      <w:iCs/>
    </w:rPr>
  </w:style>
  <w:style w:type="character" w:styleId="FollowedHyperlink">
    <w:name w:val="FollowedHyperlink"/>
    <w:basedOn w:val="DefaultParagraphFont"/>
    <w:rsid w:val="00D8738C"/>
    <w:rPr>
      <w:color w:val="0768A9"/>
      <w:u w:val="single"/>
    </w:rPr>
  </w:style>
  <w:style w:type="paragraph" w:customStyle="1" w:styleId="standard-button">
    <w:name w:val="standard-button"/>
    <w:basedOn w:val="Normal"/>
    <w:rsid w:val="00D8738C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D8738C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D8738C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D8738C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D8738C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D8738C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D8738C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D8738C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D8738C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D8738C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D8738C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D8738C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D8738C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D8738C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D8738C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D8738C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D8738C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D8738C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D8738C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D8738C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D8738C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D8738C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D8738C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D8738C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D8738C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D8738C"/>
  </w:style>
  <w:style w:type="paragraph" w:customStyle="1" w:styleId="hd">
    <w:name w:val="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1CharChar">
    <w:name w:val="Style1 Char Char"/>
    <w:basedOn w:val="DefaultParagraphFont"/>
    <w:rsid w:val="00D8738C"/>
    <w:rPr>
      <w:rFonts w:ascii="Arial" w:eastAsia="Calibri" w:hAnsi="Arial"/>
      <w:color w:val="000000"/>
      <w:sz w:val="24"/>
      <w:szCs w:val="24"/>
      <w:lang w:val="sr-Latn-CS" w:eastAsia="en-US" w:bidi="ar-SA"/>
    </w:rPr>
  </w:style>
  <w:style w:type="character" w:customStyle="1" w:styleId="FooterChar">
    <w:name w:val="Footer Char"/>
    <w:basedOn w:val="DefaultParagraphFont"/>
    <w:link w:val="Footer"/>
    <w:rsid w:val="00492376"/>
    <w:rPr>
      <w:rFonts w:ascii="Arial" w:hAnsi="Arial"/>
      <w:color w:val="000000"/>
      <w:lang w:val="en-GB"/>
    </w:rPr>
  </w:style>
  <w:style w:type="character" w:customStyle="1" w:styleId="HeaderChar">
    <w:name w:val="Header Char"/>
    <w:basedOn w:val="DefaultParagraphFont"/>
    <w:link w:val="Header"/>
    <w:rsid w:val="00AF0E79"/>
    <w:rPr>
      <w:rFonts w:ascii="Arial" w:hAnsi="Arial"/>
      <w:color w:val="000000"/>
      <w:lang w:val="en-GB"/>
    </w:rPr>
  </w:style>
  <w:style w:type="character" w:customStyle="1" w:styleId="Heading1Char">
    <w:name w:val="Heading 1 Char"/>
    <w:basedOn w:val="DefaultParagraphFont"/>
    <w:link w:val="Heading1"/>
    <w:rsid w:val="003E3CC3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4Char">
    <w:name w:val="Heading 4 Char"/>
    <w:basedOn w:val="DefaultParagraphFont"/>
    <w:link w:val="Heading4"/>
    <w:rsid w:val="003E3CC3"/>
    <w:rPr>
      <w:rFonts w:ascii="Arial" w:hAnsi="Arial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3E3CC3"/>
    <w:rPr>
      <w:rFonts w:ascii="Arial" w:hAnsi="Arial"/>
      <w:b/>
      <w:bCs/>
      <w:i/>
      <w:iCs/>
      <w:sz w:val="24"/>
      <w:szCs w:val="26"/>
    </w:rPr>
  </w:style>
  <w:style w:type="character" w:customStyle="1" w:styleId="TitleChar">
    <w:name w:val="Title Char"/>
    <w:basedOn w:val="DefaultParagraphFont"/>
    <w:link w:val="Title"/>
    <w:rsid w:val="003E3CC3"/>
    <w:rPr>
      <w:rFonts w:ascii="Arial" w:hAnsi="Arial"/>
      <w:color w:val="000000"/>
      <w:sz w:val="40"/>
      <w:lang w:val="sr-Latn-CS"/>
    </w:rPr>
  </w:style>
  <w:style w:type="character" w:customStyle="1" w:styleId="BodyTextChar">
    <w:name w:val="Body Text Char"/>
    <w:basedOn w:val="DefaultParagraphFont"/>
    <w:link w:val="BodyText"/>
    <w:rsid w:val="003E3CC3"/>
    <w:rPr>
      <w:rFonts w:cs="Arial"/>
      <w:sz w:val="24"/>
      <w:szCs w:val="24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3E3CC3"/>
    <w:rPr>
      <w:sz w:val="24"/>
      <w:szCs w:val="24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3E3CC3"/>
    <w:rPr>
      <w:sz w:val="22"/>
      <w:szCs w:val="24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footer" Target="footer1.xml"/><Relationship Id="rId8" Type="http://schemas.openxmlformats.org/officeDocument/2006/relationships/image" Target="media/image2.jpeg"/><Relationship Id="rId51" Type="http://schemas.openxmlformats.org/officeDocument/2006/relationships/image" Target="media/image23.wmf"/><Relationship Id="rId3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5</TotalTime>
  <Pages>10</Pages>
  <Words>3752</Words>
  <Characters>21387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25089</CharactersWithSpaces>
  <SharedDoc>false</SharedDoc>
  <HLinks>
    <vt:vector size="60" baseType="variant"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_Toc337988241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_Toc337988240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_Toc337988239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_Toc337988238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_Toc337988237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_Toc337988236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_Toc337988235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_Toc337988234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_Toc337988233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_Toc337988232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9</cp:revision>
  <cp:lastPrinted>1601-01-01T00:00:00Z</cp:lastPrinted>
  <dcterms:created xsi:type="dcterms:W3CDTF">2018-11-05T16:54:00Z</dcterms:created>
  <dcterms:modified xsi:type="dcterms:W3CDTF">2018-11-05T17:00:00Z</dcterms:modified>
</cp:coreProperties>
</file>